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F9E9" w14:textId="77777777" w:rsidR="005136FF" w:rsidRPr="00A83486" w:rsidRDefault="005136FF" w:rsidP="005136FF">
      <w:pPr>
        <w:shd w:val="clear" w:color="auto" w:fill="FFFFFF"/>
        <w:jc w:val="both"/>
        <w:textAlignment w:val="baseline"/>
        <w:rPr>
          <w:rFonts w:eastAsia="Times New Roman" w:cs="Times New Roman"/>
          <w:color w:val="000000"/>
          <w:sz w:val="24"/>
          <w:szCs w:val="24"/>
          <w:lang w:eastAsia="hr-HR"/>
        </w:rPr>
      </w:pPr>
      <w:r w:rsidRPr="00A83486">
        <w:rPr>
          <w:rFonts w:eastAsia="Times New Roman" w:cs="Times New Roman"/>
          <w:color w:val="000000"/>
          <w:sz w:val="24"/>
          <w:szCs w:val="24"/>
          <w:lang w:eastAsia="hr-HR"/>
        </w:rPr>
        <w:t>KLASA:</w:t>
      </w:r>
      <w:r w:rsidR="00F31E10">
        <w:rPr>
          <w:rFonts w:eastAsia="Times New Roman" w:cs="Times New Roman"/>
          <w:color w:val="000000"/>
          <w:sz w:val="24"/>
          <w:szCs w:val="24"/>
          <w:lang w:eastAsia="hr-HR"/>
        </w:rPr>
        <w:t xml:space="preserve"> </w:t>
      </w:r>
      <w:r w:rsidR="00141C5A" w:rsidRPr="00692996">
        <w:rPr>
          <w:rFonts w:eastAsia="Times New Roman" w:cs="Times New Roman"/>
          <w:color w:val="000000"/>
          <w:sz w:val="24"/>
          <w:szCs w:val="24"/>
          <w:lang w:eastAsia="hr-HR"/>
        </w:rPr>
        <w:t>402-01/26-01/11</w:t>
      </w:r>
    </w:p>
    <w:p w14:paraId="5EAC36C9" w14:textId="77777777" w:rsidR="005136FF" w:rsidRPr="00A83486" w:rsidRDefault="005136FF" w:rsidP="005136FF">
      <w:pPr>
        <w:shd w:val="clear" w:color="auto" w:fill="FFFFFF"/>
        <w:jc w:val="both"/>
        <w:textAlignment w:val="baseline"/>
        <w:rPr>
          <w:rFonts w:eastAsia="Times New Roman" w:cs="Times New Roman"/>
          <w:color w:val="000000"/>
          <w:sz w:val="24"/>
          <w:szCs w:val="24"/>
          <w:lang w:eastAsia="hr-HR"/>
        </w:rPr>
      </w:pPr>
      <w:r w:rsidRPr="00A83486">
        <w:rPr>
          <w:rFonts w:eastAsia="Times New Roman" w:cs="Times New Roman"/>
          <w:color w:val="000000"/>
          <w:sz w:val="24"/>
          <w:szCs w:val="24"/>
          <w:lang w:eastAsia="hr-HR"/>
        </w:rPr>
        <w:t>URBROJ:</w:t>
      </w:r>
      <w:r w:rsidR="00F31E10">
        <w:rPr>
          <w:rFonts w:eastAsia="Times New Roman" w:cs="Times New Roman"/>
          <w:color w:val="000000"/>
          <w:sz w:val="24"/>
          <w:szCs w:val="24"/>
          <w:lang w:eastAsia="hr-HR"/>
        </w:rPr>
        <w:t xml:space="preserve"> </w:t>
      </w:r>
      <w:r w:rsidR="00141C5A" w:rsidRPr="00692996">
        <w:rPr>
          <w:rFonts w:eastAsia="Times New Roman" w:cs="Times New Roman"/>
          <w:color w:val="000000"/>
          <w:sz w:val="24"/>
          <w:szCs w:val="24"/>
          <w:lang w:eastAsia="hr-HR"/>
        </w:rPr>
        <w:t>474-13-03-1</w:t>
      </w:r>
    </w:p>
    <w:p w14:paraId="0FBEA061" w14:textId="77777777" w:rsidR="005136FF" w:rsidRPr="00A83486" w:rsidRDefault="005136FF" w:rsidP="005136FF">
      <w:pPr>
        <w:shd w:val="clear" w:color="auto" w:fill="FFFFFF"/>
        <w:jc w:val="both"/>
        <w:textAlignment w:val="baseline"/>
        <w:rPr>
          <w:rFonts w:eastAsia="Times New Roman" w:cs="Times New Roman"/>
          <w:color w:val="000000"/>
          <w:sz w:val="24"/>
          <w:szCs w:val="24"/>
          <w:lang w:eastAsia="hr-HR"/>
        </w:rPr>
      </w:pPr>
      <w:r w:rsidRPr="00B07445">
        <w:rPr>
          <w:rFonts w:eastAsia="Times New Roman" w:cs="Times New Roman"/>
          <w:color w:val="000000"/>
          <w:sz w:val="24"/>
          <w:szCs w:val="24"/>
          <w:lang w:eastAsia="hr-HR"/>
        </w:rPr>
        <w:t xml:space="preserve">U Zagrebu, </w:t>
      </w:r>
      <w:r w:rsidR="00213A92" w:rsidRPr="008A0C69">
        <w:rPr>
          <w:rFonts w:eastAsia="Times New Roman" w:cs="Times New Roman"/>
          <w:color w:val="000000"/>
          <w:sz w:val="24"/>
          <w:szCs w:val="24"/>
          <w:lang w:eastAsia="hr-HR"/>
        </w:rPr>
        <w:t>1</w:t>
      </w:r>
      <w:r w:rsidR="008A0C69" w:rsidRPr="008A0C69">
        <w:rPr>
          <w:rFonts w:eastAsia="Times New Roman" w:cs="Times New Roman"/>
          <w:color w:val="000000"/>
          <w:sz w:val="24"/>
          <w:szCs w:val="24"/>
          <w:lang w:eastAsia="hr-HR"/>
        </w:rPr>
        <w:t>7</w:t>
      </w:r>
      <w:r w:rsidRPr="008A0C69">
        <w:rPr>
          <w:rFonts w:eastAsia="Times New Roman" w:cs="Times New Roman"/>
          <w:color w:val="000000"/>
          <w:sz w:val="24"/>
          <w:szCs w:val="24"/>
          <w:lang w:eastAsia="hr-HR"/>
        </w:rPr>
        <w:t xml:space="preserve">. </w:t>
      </w:r>
      <w:r w:rsidR="00A83486" w:rsidRPr="008A0C69">
        <w:rPr>
          <w:rFonts w:eastAsia="Times New Roman" w:cs="Times New Roman"/>
          <w:color w:val="000000"/>
          <w:sz w:val="24"/>
          <w:szCs w:val="24"/>
          <w:lang w:eastAsia="hr-HR"/>
        </w:rPr>
        <w:t>ožujka</w:t>
      </w:r>
      <w:r w:rsidRPr="008A0C69">
        <w:rPr>
          <w:rFonts w:eastAsia="Times New Roman" w:cs="Times New Roman"/>
          <w:color w:val="000000"/>
          <w:sz w:val="24"/>
          <w:szCs w:val="24"/>
          <w:lang w:eastAsia="hr-HR"/>
        </w:rPr>
        <w:t xml:space="preserve"> 202</w:t>
      </w:r>
      <w:r w:rsidR="00B957E4" w:rsidRPr="008A0C69">
        <w:rPr>
          <w:rFonts w:eastAsia="Times New Roman" w:cs="Times New Roman"/>
          <w:color w:val="000000"/>
          <w:sz w:val="24"/>
          <w:szCs w:val="24"/>
          <w:lang w:eastAsia="hr-HR"/>
        </w:rPr>
        <w:t>6.</w:t>
      </w:r>
    </w:p>
    <w:p w14:paraId="1F1B572C" w14:textId="77777777" w:rsidR="005136FF" w:rsidRDefault="005136FF" w:rsidP="005136FF">
      <w:pPr>
        <w:rPr>
          <w:rFonts w:eastAsia="Calibri" w:cs="Times New Roman"/>
        </w:rPr>
      </w:pPr>
    </w:p>
    <w:p w14:paraId="76EBF3B8" w14:textId="77777777" w:rsidR="005136FF" w:rsidRDefault="005136FF" w:rsidP="005136FF">
      <w:pPr>
        <w:rPr>
          <w:rFonts w:eastAsia="Calibri" w:cs="Times New Roman"/>
        </w:rPr>
      </w:pPr>
    </w:p>
    <w:p w14:paraId="54F1D7A6" w14:textId="77777777" w:rsidR="00A83486" w:rsidRDefault="00A83486" w:rsidP="00A83486">
      <w:pPr>
        <w:jc w:val="center"/>
        <w:rPr>
          <w:rFonts w:cs="Times New Roman"/>
          <w:b/>
          <w:sz w:val="28"/>
          <w:szCs w:val="28"/>
        </w:rPr>
      </w:pPr>
    </w:p>
    <w:p w14:paraId="5CEAD43E" w14:textId="77777777" w:rsidR="00A83486" w:rsidRDefault="00A83486" w:rsidP="00A83486">
      <w:pPr>
        <w:jc w:val="center"/>
        <w:rPr>
          <w:rFonts w:cs="Times New Roman"/>
          <w:b/>
          <w:sz w:val="28"/>
          <w:szCs w:val="28"/>
        </w:rPr>
      </w:pPr>
    </w:p>
    <w:p w14:paraId="37DD3FAA" w14:textId="77777777" w:rsidR="00A83486" w:rsidRDefault="00A83486" w:rsidP="00A83486">
      <w:pPr>
        <w:jc w:val="center"/>
        <w:rPr>
          <w:rFonts w:cs="Times New Roman"/>
          <w:b/>
          <w:sz w:val="28"/>
          <w:szCs w:val="28"/>
        </w:rPr>
      </w:pPr>
    </w:p>
    <w:p w14:paraId="3DE0413D" w14:textId="77777777" w:rsidR="00A83486" w:rsidRDefault="00A83486" w:rsidP="00A83486">
      <w:pPr>
        <w:jc w:val="center"/>
        <w:rPr>
          <w:rFonts w:cs="Times New Roman"/>
          <w:b/>
          <w:sz w:val="28"/>
          <w:szCs w:val="28"/>
        </w:rPr>
      </w:pPr>
    </w:p>
    <w:p w14:paraId="5F338AE3" w14:textId="77777777" w:rsidR="00A83486" w:rsidRDefault="00A83486" w:rsidP="00A83486">
      <w:pPr>
        <w:jc w:val="center"/>
        <w:rPr>
          <w:rFonts w:cs="Times New Roman"/>
          <w:b/>
          <w:sz w:val="28"/>
          <w:szCs w:val="28"/>
        </w:rPr>
      </w:pPr>
    </w:p>
    <w:p w14:paraId="57641C7A" w14:textId="77777777" w:rsidR="00A83486" w:rsidRPr="00A043ED" w:rsidRDefault="00A83486" w:rsidP="00A83486">
      <w:pPr>
        <w:jc w:val="center"/>
        <w:rPr>
          <w:rFonts w:cs="Times New Roman"/>
          <w:b/>
          <w:sz w:val="24"/>
          <w:szCs w:val="24"/>
        </w:rPr>
      </w:pPr>
      <w:r w:rsidRPr="00A043ED">
        <w:rPr>
          <w:rFonts w:cs="Times New Roman"/>
          <w:b/>
          <w:sz w:val="24"/>
          <w:szCs w:val="24"/>
        </w:rPr>
        <w:t xml:space="preserve">IZVJEŠTAJ O STANJU POTRAŽIVANJA I DOSPJELIH OBVEZA TE </w:t>
      </w:r>
    </w:p>
    <w:p w14:paraId="36A55162" w14:textId="77777777" w:rsidR="00A83486" w:rsidRPr="00A043ED" w:rsidRDefault="00A83486" w:rsidP="00A83486">
      <w:pPr>
        <w:jc w:val="center"/>
        <w:rPr>
          <w:rFonts w:cs="Times New Roman"/>
          <w:b/>
          <w:sz w:val="24"/>
          <w:szCs w:val="24"/>
        </w:rPr>
      </w:pPr>
      <w:r w:rsidRPr="00A043ED">
        <w:rPr>
          <w:rFonts w:cs="Times New Roman"/>
          <w:b/>
          <w:sz w:val="24"/>
          <w:szCs w:val="24"/>
        </w:rPr>
        <w:t>STANJU POTENCIJALNIH OBVEZA  PO OSNOVI SUDSKIH SPOROVA</w:t>
      </w:r>
    </w:p>
    <w:p w14:paraId="7F2FE700" w14:textId="77777777" w:rsidR="00A83486" w:rsidRPr="00A043ED" w:rsidRDefault="00A83486" w:rsidP="00A83486">
      <w:pPr>
        <w:jc w:val="center"/>
        <w:rPr>
          <w:rFonts w:cs="Times New Roman"/>
          <w:b/>
          <w:sz w:val="24"/>
          <w:szCs w:val="24"/>
        </w:rPr>
      </w:pPr>
      <w:r w:rsidRPr="00A043ED">
        <w:rPr>
          <w:rFonts w:cs="Times New Roman"/>
          <w:b/>
          <w:sz w:val="24"/>
          <w:szCs w:val="24"/>
        </w:rPr>
        <w:t xml:space="preserve"> ZA 202</w:t>
      </w:r>
      <w:r w:rsidR="002F7E0C" w:rsidRPr="00A043ED">
        <w:rPr>
          <w:rFonts w:cs="Times New Roman"/>
          <w:b/>
          <w:sz w:val="24"/>
          <w:szCs w:val="24"/>
        </w:rPr>
        <w:t>5</w:t>
      </w:r>
      <w:r w:rsidRPr="00A043ED">
        <w:rPr>
          <w:rFonts w:cs="Times New Roman"/>
          <w:b/>
          <w:sz w:val="24"/>
          <w:szCs w:val="24"/>
        </w:rPr>
        <w:t>. GODINU</w:t>
      </w:r>
    </w:p>
    <w:p w14:paraId="6BBDF95D" w14:textId="77777777" w:rsidR="00A83486" w:rsidRDefault="00A83486" w:rsidP="00A83486">
      <w:pPr>
        <w:jc w:val="center"/>
        <w:rPr>
          <w:b/>
        </w:rPr>
      </w:pPr>
    </w:p>
    <w:p w14:paraId="7214431E" w14:textId="77777777" w:rsidR="00DD70B7" w:rsidRDefault="00DD70B7" w:rsidP="00A83486">
      <w:pPr>
        <w:jc w:val="center"/>
        <w:rPr>
          <w:b/>
        </w:rPr>
      </w:pPr>
    </w:p>
    <w:p w14:paraId="0E5FCA1E" w14:textId="77777777" w:rsidR="00DD70B7" w:rsidRDefault="00DD70B7" w:rsidP="00A83486">
      <w:pPr>
        <w:jc w:val="center"/>
        <w:rPr>
          <w:b/>
        </w:rPr>
      </w:pPr>
    </w:p>
    <w:p w14:paraId="0BD989E3" w14:textId="77777777" w:rsidR="00A83486" w:rsidRPr="00BD26B9" w:rsidRDefault="00A83486" w:rsidP="00A83486">
      <w:pPr>
        <w:jc w:val="center"/>
        <w:rPr>
          <w:b/>
        </w:rPr>
      </w:pPr>
    </w:p>
    <w:p w14:paraId="338B8AA7" w14:textId="77777777" w:rsidR="00A83486" w:rsidRDefault="00A83486" w:rsidP="00A83486">
      <w:pPr>
        <w:jc w:val="center"/>
        <w:rPr>
          <w:rFonts w:cs="Times New Roman"/>
          <w:b/>
          <w:sz w:val="24"/>
          <w:szCs w:val="24"/>
        </w:rPr>
      </w:pPr>
      <w:r w:rsidRPr="00CF3541">
        <w:rPr>
          <w:rFonts w:cs="Times New Roman"/>
          <w:b/>
          <w:sz w:val="24"/>
          <w:szCs w:val="24"/>
        </w:rPr>
        <w:t>IZVJEŠTAJ O STANJU NENAPLAĆENIH POTRAŽIVANJA ZA PRIHODE NSK</w:t>
      </w:r>
    </w:p>
    <w:p w14:paraId="0B53038F" w14:textId="77777777" w:rsidR="00DD70B7" w:rsidRDefault="00DD70B7" w:rsidP="00A83486">
      <w:pPr>
        <w:jc w:val="center"/>
        <w:rPr>
          <w:rFonts w:cs="Times New Roman"/>
          <w:b/>
          <w:sz w:val="24"/>
          <w:szCs w:val="24"/>
        </w:rPr>
      </w:pPr>
    </w:p>
    <w:p w14:paraId="0ABC4517" w14:textId="77777777" w:rsidR="00DD70B7" w:rsidRDefault="00DD70B7" w:rsidP="00A83486">
      <w:pPr>
        <w:jc w:val="center"/>
        <w:rPr>
          <w:rFonts w:cs="Times New Roman"/>
          <w:b/>
          <w:sz w:val="24"/>
          <w:szCs w:val="24"/>
        </w:rPr>
      </w:pPr>
    </w:p>
    <w:p w14:paraId="73B34969" w14:textId="77777777" w:rsidR="00A83486" w:rsidRDefault="00A83486" w:rsidP="00A83486">
      <w:pPr>
        <w:jc w:val="center"/>
        <w:rPr>
          <w:rFonts w:cs="Times New Roman"/>
          <w:b/>
          <w:sz w:val="24"/>
          <w:szCs w:val="24"/>
        </w:rPr>
      </w:pPr>
    </w:p>
    <w:p w14:paraId="63277025" w14:textId="7CC88B18" w:rsidR="00A83486" w:rsidRDefault="00A83486" w:rsidP="00CA70AE">
      <w:pPr>
        <w:jc w:val="both"/>
        <w:rPr>
          <w:rFonts w:cs="Times New Roman"/>
          <w:sz w:val="24"/>
          <w:szCs w:val="24"/>
        </w:rPr>
      </w:pPr>
      <w:r>
        <w:rPr>
          <w:rFonts w:cs="Times New Roman"/>
          <w:sz w:val="24"/>
          <w:szCs w:val="24"/>
        </w:rPr>
        <w:t>Nenaplaćena potraživanja za prihode poslovanja na dan 31.12.202</w:t>
      </w:r>
      <w:r w:rsidR="00CF3541">
        <w:rPr>
          <w:rFonts w:cs="Times New Roman"/>
          <w:sz w:val="24"/>
          <w:szCs w:val="24"/>
        </w:rPr>
        <w:t>5</w:t>
      </w:r>
      <w:r>
        <w:rPr>
          <w:rFonts w:cs="Times New Roman"/>
          <w:sz w:val="24"/>
          <w:szCs w:val="24"/>
        </w:rPr>
        <w:t xml:space="preserve">. godine iznose </w:t>
      </w:r>
      <w:r w:rsidR="00CA70AE">
        <w:rPr>
          <w:rFonts w:cs="Times New Roman"/>
          <w:sz w:val="24"/>
          <w:szCs w:val="24"/>
        </w:rPr>
        <w:t xml:space="preserve">       </w:t>
      </w:r>
      <w:r>
        <w:rPr>
          <w:rFonts w:cs="Times New Roman"/>
          <w:sz w:val="24"/>
          <w:szCs w:val="24"/>
        </w:rPr>
        <w:t>2</w:t>
      </w:r>
      <w:r w:rsidR="00CF3541">
        <w:rPr>
          <w:rFonts w:cs="Times New Roman"/>
          <w:sz w:val="24"/>
          <w:szCs w:val="24"/>
        </w:rPr>
        <w:t>1.915,02</w:t>
      </w:r>
      <w:r>
        <w:rPr>
          <w:rFonts w:cs="Times New Roman"/>
          <w:sz w:val="24"/>
          <w:szCs w:val="24"/>
        </w:rPr>
        <w:t xml:space="preserve"> </w:t>
      </w:r>
      <w:r w:rsidR="00C03532">
        <w:rPr>
          <w:rFonts w:cs="Times New Roman"/>
          <w:sz w:val="24"/>
          <w:szCs w:val="24"/>
        </w:rPr>
        <w:t>eura</w:t>
      </w:r>
      <w:r w:rsidR="00002E1D">
        <w:rPr>
          <w:rFonts w:cs="Times New Roman"/>
          <w:sz w:val="24"/>
          <w:szCs w:val="24"/>
        </w:rPr>
        <w:t>.</w:t>
      </w:r>
    </w:p>
    <w:p w14:paraId="7B0627C9" w14:textId="77777777" w:rsidR="00A83486" w:rsidRDefault="00A83486" w:rsidP="00A83486">
      <w:pPr>
        <w:jc w:val="center"/>
        <w:rPr>
          <w:rFonts w:cs="Times New Roman"/>
          <w:b/>
          <w:sz w:val="24"/>
          <w:szCs w:val="24"/>
        </w:rPr>
      </w:pPr>
    </w:p>
    <w:p w14:paraId="36313CE3" w14:textId="77777777" w:rsidR="00DD70B7" w:rsidRDefault="00DD70B7" w:rsidP="00A83486">
      <w:pPr>
        <w:jc w:val="center"/>
        <w:rPr>
          <w:rFonts w:cs="Times New Roman"/>
          <w:b/>
          <w:sz w:val="24"/>
          <w:szCs w:val="24"/>
        </w:rPr>
      </w:pPr>
    </w:p>
    <w:p w14:paraId="19F9957A" w14:textId="77777777" w:rsidR="00DD70B7" w:rsidRDefault="00DD70B7" w:rsidP="00A83486">
      <w:pPr>
        <w:jc w:val="center"/>
        <w:rPr>
          <w:rFonts w:cs="Times New Roman"/>
          <w:b/>
          <w:sz w:val="24"/>
          <w:szCs w:val="24"/>
        </w:rPr>
      </w:pPr>
    </w:p>
    <w:p w14:paraId="16E827F7" w14:textId="77777777" w:rsidR="00A83486" w:rsidRDefault="00A83486" w:rsidP="00A83486">
      <w:pPr>
        <w:jc w:val="center"/>
        <w:rPr>
          <w:rFonts w:cs="Times New Roman"/>
          <w:b/>
          <w:sz w:val="24"/>
          <w:szCs w:val="24"/>
        </w:rPr>
      </w:pPr>
      <w:r w:rsidRPr="00DF5C42">
        <w:rPr>
          <w:rFonts w:cs="Times New Roman"/>
          <w:b/>
          <w:sz w:val="24"/>
          <w:szCs w:val="24"/>
        </w:rPr>
        <w:t>IZVJEŠTAJ O DOSPJELIM OBVEZAMA</w:t>
      </w:r>
    </w:p>
    <w:p w14:paraId="6351DC83" w14:textId="77777777" w:rsidR="00DD70B7" w:rsidRDefault="00DD70B7" w:rsidP="00A83486">
      <w:pPr>
        <w:jc w:val="center"/>
        <w:rPr>
          <w:rFonts w:cs="Times New Roman"/>
          <w:b/>
          <w:sz w:val="24"/>
          <w:szCs w:val="24"/>
        </w:rPr>
      </w:pPr>
    </w:p>
    <w:p w14:paraId="568566C1" w14:textId="77777777" w:rsidR="00DD70B7" w:rsidRDefault="00DD70B7" w:rsidP="00A83486">
      <w:pPr>
        <w:jc w:val="center"/>
        <w:rPr>
          <w:rFonts w:cs="Times New Roman"/>
          <w:b/>
          <w:sz w:val="24"/>
          <w:szCs w:val="24"/>
        </w:rPr>
      </w:pPr>
    </w:p>
    <w:p w14:paraId="56C3D9CC" w14:textId="77777777" w:rsidR="00A83486" w:rsidRDefault="00A83486" w:rsidP="00A83486">
      <w:pPr>
        <w:jc w:val="center"/>
        <w:rPr>
          <w:rFonts w:cs="Times New Roman"/>
          <w:b/>
          <w:sz w:val="24"/>
          <w:szCs w:val="24"/>
        </w:rPr>
      </w:pPr>
    </w:p>
    <w:p w14:paraId="5A008926" w14:textId="78CC9355" w:rsidR="00CC5ABE" w:rsidRPr="00CC5ABE" w:rsidRDefault="00DF5C42" w:rsidP="00CC5ABE">
      <w:pPr>
        <w:jc w:val="both"/>
        <w:rPr>
          <w:rFonts w:cs="Times New Roman"/>
          <w:sz w:val="24"/>
          <w:szCs w:val="24"/>
        </w:rPr>
      </w:pPr>
      <w:r>
        <w:rPr>
          <w:rFonts w:cs="Times New Roman"/>
          <w:sz w:val="24"/>
          <w:szCs w:val="24"/>
        </w:rPr>
        <w:t xml:space="preserve">Na dan 31.12.2025. godine  NSK </w:t>
      </w:r>
      <w:r w:rsidR="00CC5ABE">
        <w:rPr>
          <w:rFonts w:cs="Times New Roman"/>
          <w:sz w:val="24"/>
          <w:szCs w:val="24"/>
        </w:rPr>
        <w:t xml:space="preserve">ima </w:t>
      </w:r>
      <w:r>
        <w:rPr>
          <w:rFonts w:cs="Times New Roman"/>
          <w:sz w:val="24"/>
          <w:szCs w:val="24"/>
        </w:rPr>
        <w:t xml:space="preserve"> dospjelih  neplaćenih </w:t>
      </w:r>
      <w:r w:rsidR="00CC5ABE">
        <w:rPr>
          <w:rFonts w:cs="Times New Roman"/>
          <w:sz w:val="24"/>
          <w:szCs w:val="24"/>
        </w:rPr>
        <w:t xml:space="preserve">1.392,13 eura </w:t>
      </w:r>
      <w:r>
        <w:rPr>
          <w:rFonts w:cs="Times New Roman"/>
          <w:sz w:val="24"/>
          <w:szCs w:val="24"/>
        </w:rPr>
        <w:t>obveza.</w:t>
      </w:r>
      <w:r w:rsidR="00CC5ABE" w:rsidRPr="00CC5ABE">
        <w:rPr>
          <w:rFonts w:cs="Times New Roman"/>
          <w:sz w:val="24"/>
          <w:szCs w:val="24"/>
        </w:rPr>
        <w:t xml:space="preserve"> </w:t>
      </w:r>
      <w:r w:rsidR="00CC5ABE" w:rsidRPr="00CC5ABE">
        <w:rPr>
          <w:rFonts w:cs="Times New Roman"/>
          <w:sz w:val="24"/>
          <w:szCs w:val="24"/>
        </w:rPr>
        <w:t>Dospjela obveza odnosi se na rashod za tekuće investicijsko održavanje gdje smo platili po predujmu, izvršitelj je odradio posao, ali nam nije dostavio račun unatoč tome što je više puta na to pozivan.</w:t>
      </w:r>
    </w:p>
    <w:p w14:paraId="32873F3A" w14:textId="619A5570" w:rsidR="00A83486" w:rsidRDefault="00A83486" w:rsidP="00A83486">
      <w:pPr>
        <w:jc w:val="both"/>
        <w:rPr>
          <w:rFonts w:eastAsia="Calibri" w:cs="Times New Roman"/>
        </w:rPr>
        <w:sectPr w:rsidR="00A83486" w:rsidSect="00056148">
          <w:footerReference w:type="default" r:id="rId8"/>
          <w:headerReference w:type="first" r:id="rId9"/>
          <w:footerReference w:type="first" r:id="rId10"/>
          <w:pgSz w:w="11906" w:h="16838" w:code="9"/>
          <w:pgMar w:top="1276" w:right="1418" w:bottom="1418" w:left="1418" w:header="709" w:footer="283" w:gutter="0"/>
          <w:cols w:space="708"/>
          <w:titlePg/>
          <w:docGrid w:linePitch="360"/>
        </w:sectPr>
      </w:pPr>
    </w:p>
    <w:tbl>
      <w:tblPr>
        <w:tblStyle w:val="Reetkatablice"/>
        <w:tblpPr w:leftFromText="180" w:rightFromText="180" w:vertAnchor="page" w:horzAnchor="margin" w:tblpX="-866" w:tblpY="721"/>
        <w:tblW w:w="5000" w:type="pct"/>
        <w:tblLook w:val="04A0" w:firstRow="1" w:lastRow="0" w:firstColumn="1" w:lastColumn="0" w:noHBand="0" w:noVBand="1"/>
      </w:tblPr>
      <w:tblGrid>
        <w:gridCol w:w="2995"/>
        <w:gridCol w:w="2865"/>
        <w:gridCol w:w="4140"/>
        <w:gridCol w:w="2357"/>
        <w:gridCol w:w="1777"/>
      </w:tblGrid>
      <w:tr w:rsidR="004D1A9F" w:rsidRPr="00BE51EF" w14:paraId="28F36F2F" w14:textId="77777777" w:rsidTr="00CF3541">
        <w:tc>
          <w:tcPr>
            <w:tcW w:w="5000" w:type="pct"/>
            <w:gridSpan w:val="5"/>
          </w:tcPr>
          <w:p w14:paraId="09915EED"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lastRenderedPageBreak/>
              <w:t>Izvještaj o stanju potencijalnih obveza po osnovi sudskih sporova i potraživanja na dan 31.12.2025. g.; Nacionalna i sveučilišna knjižnica u Zagrebu (dalje: NSK)</w:t>
            </w:r>
          </w:p>
        </w:tc>
      </w:tr>
      <w:tr w:rsidR="004D1A9F" w:rsidRPr="00BE51EF" w14:paraId="2509FFE7" w14:textId="77777777" w:rsidTr="00CF3541">
        <w:tc>
          <w:tcPr>
            <w:tcW w:w="1081" w:type="pct"/>
          </w:tcPr>
          <w:p w14:paraId="1DFD23AF"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t>PREDMET</w:t>
            </w:r>
          </w:p>
        </w:tc>
        <w:tc>
          <w:tcPr>
            <w:tcW w:w="1035" w:type="pct"/>
          </w:tcPr>
          <w:p w14:paraId="134EC09A"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t>RADI</w:t>
            </w:r>
          </w:p>
        </w:tc>
        <w:tc>
          <w:tcPr>
            <w:tcW w:w="1486" w:type="pct"/>
          </w:tcPr>
          <w:p w14:paraId="4F3F871F"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t>STATUS</w:t>
            </w:r>
          </w:p>
        </w:tc>
        <w:tc>
          <w:tcPr>
            <w:tcW w:w="855" w:type="pct"/>
          </w:tcPr>
          <w:p w14:paraId="532F8C6C"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t>NAPOMENA</w:t>
            </w:r>
          </w:p>
        </w:tc>
        <w:tc>
          <w:tcPr>
            <w:tcW w:w="543" w:type="pct"/>
          </w:tcPr>
          <w:p w14:paraId="622AF51B" w14:textId="77777777" w:rsidR="004D1A9F" w:rsidRPr="00BE51EF" w:rsidRDefault="004D1A9F" w:rsidP="00D73FB9">
            <w:pPr>
              <w:rPr>
                <w:rFonts w:ascii="Times New Roman" w:hAnsi="Times New Roman" w:cs="Times New Roman"/>
                <w:b/>
                <w:sz w:val="24"/>
                <w:szCs w:val="24"/>
              </w:rPr>
            </w:pPr>
            <w:r w:rsidRPr="00BE51EF">
              <w:rPr>
                <w:rFonts w:ascii="Times New Roman" w:hAnsi="Times New Roman" w:cs="Times New Roman"/>
                <w:b/>
                <w:sz w:val="24"/>
                <w:szCs w:val="24"/>
              </w:rPr>
              <w:t>FINANCIJSKI UČINAK</w:t>
            </w:r>
          </w:p>
        </w:tc>
      </w:tr>
      <w:tr w:rsidR="004D1A9F" w:rsidRPr="00BE51EF" w14:paraId="2A8FF61C" w14:textId="77777777" w:rsidTr="00CF3541">
        <w:trPr>
          <w:trHeight w:val="1999"/>
        </w:trPr>
        <w:tc>
          <w:tcPr>
            <w:tcW w:w="1081" w:type="pct"/>
          </w:tcPr>
          <w:p w14:paraId="0BAAF466" w14:textId="77777777" w:rsidR="004D1A9F" w:rsidRPr="00BE51EF" w:rsidRDefault="004D1A9F" w:rsidP="00D73FB9">
            <w:pPr>
              <w:pStyle w:val="Odlomakpopisa"/>
              <w:numPr>
                <w:ilvl w:val="0"/>
                <w:numId w:val="7"/>
              </w:numPr>
              <w:ind w:left="313" w:hanging="284"/>
              <w:jc w:val="both"/>
              <w:rPr>
                <w:rFonts w:ascii="Times New Roman" w:hAnsi="Times New Roman"/>
                <w:szCs w:val="24"/>
              </w:rPr>
            </w:pPr>
            <w:r w:rsidRPr="00BE51EF">
              <w:rPr>
                <w:rFonts w:ascii="Times New Roman" w:hAnsi="Times New Roman"/>
                <w:szCs w:val="24"/>
              </w:rPr>
              <w:t xml:space="preserve">DINARID d.o.o. Zagreb/NSK, </w:t>
            </w:r>
            <w:proofErr w:type="spellStart"/>
            <w:r w:rsidRPr="00BE51EF">
              <w:rPr>
                <w:rFonts w:ascii="Times New Roman" w:hAnsi="Times New Roman"/>
                <w:szCs w:val="24"/>
              </w:rPr>
              <w:t>Trgovački</w:t>
            </w:r>
            <w:proofErr w:type="spellEnd"/>
            <w:r w:rsidRPr="00BE51EF">
              <w:rPr>
                <w:rFonts w:ascii="Times New Roman" w:hAnsi="Times New Roman"/>
                <w:szCs w:val="24"/>
              </w:rPr>
              <w:t xml:space="preserve"> </w:t>
            </w:r>
            <w:proofErr w:type="spellStart"/>
            <w:r w:rsidRPr="00BE51EF">
              <w:rPr>
                <w:rFonts w:ascii="Times New Roman" w:hAnsi="Times New Roman"/>
                <w:szCs w:val="24"/>
              </w:rPr>
              <w:t>sud</w:t>
            </w:r>
            <w:proofErr w:type="spellEnd"/>
            <w:r w:rsidRPr="00BE51EF">
              <w:rPr>
                <w:rFonts w:ascii="Times New Roman" w:hAnsi="Times New Roman"/>
                <w:szCs w:val="24"/>
              </w:rPr>
              <w:t xml:space="preserve"> u </w:t>
            </w:r>
            <w:proofErr w:type="spellStart"/>
            <w:r w:rsidRPr="00BE51EF">
              <w:rPr>
                <w:rFonts w:ascii="Times New Roman" w:hAnsi="Times New Roman"/>
                <w:szCs w:val="24"/>
              </w:rPr>
              <w:t>Zagrebu</w:t>
            </w:r>
            <w:proofErr w:type="spellEnd"/>
            <w:r w:rsidRPr="00BE51EF">
              <w:rPr>
                <w:rFonts w:ascii="Times New Roman" w:hAnsi="Times New Roman"/>
                <w:szCs w:val="24"/>
              </w:rPr>
              <w:t>, P-2024/2015</w:t>
            </w:r>
          </w:p>
        </w:tc>
        <w:tc>
          <w:tcPr>
            <w:tcW w:w="1035" w:type="pct"/>
          </w:tcPr>
          <w:p w14:paraId="386E985D" w14:textId="77777777" w:rsidR="004D1A9F" w:rsidRPr="00BE51EF" w:rsidRDefault="004D1A9F" w:rsidP="00D73FB9">
            <w:pPr>
              <w:rPr>
                <w:rFonts w:ascii="Times New Roman" w:hAnsi="Times New Roman" w:cs="Times New Roman"/>
                <w:sz w:val="24"/>
                <w:szCs w:val="24"/>
              </w:rPr>
            </w:pPr>
            <w:r w:rsidRPr="00BE51EF">
              <w:rPr>
                <w:rFonts w:ascii="Times New Roman" w:hAnsi="Times New Roman" w:cs="Times New Roman"/>
                <w:sz w:val="24"/>
                <w:szCs w:val="24"/>
              </w:rPr>
              <w:t>Utvrđenja nezakonitog raskida i naknade štete</w:t>
            </w:r>
          </w:p>
        </w:tc>
        <w:tc>
          <w:tcPr>
            <w:tcW w:w="1486" w:type="pct"/>
          </w:tcPr>
          <w:p w14:paraId="05D8012E" w14:textId="77777777" w:rsidR="004D1A9F" w:rsidRPr="00BE51EF" w:rsidRDefault="004D1A9F" w:rsidP="00D73FB9">
            <w:pPr>
              <w:jc w:val="both"/>
              <w:rPr>
                <w:rFonts w:ascii="Times New Roman" w:hAnsi="Times New Roman" w:cs="Times New Roman"/>
                <w:sz w:val="24"/>
                <w:szCs w:val="24"/>
              </w:rPr>
            </w:pPr>
            <w:r w:rsidRPr="00BE51EF">
              <w:rPr>
                <w:rFonts w:ascii="Times New Roman" w:hAnsi="Times New Roman" w:cs="Times New Roman"/>
                <w:sz w:val="24"/>
                <w:szCs w:val="24"/>
              </w:rPr>
              <w:t>Presuda 09.01.2025.g. kojom je odbijen konačno precizirani tužbeni zahtjev tužitelja (10.923,49 EUR) te je tužitelju naloženo naknaditi tuženiku parnični trošak u iznosu od 5.385,11 EUR. Tužitelj podnio žalbu protiv presude 14.02.2025.g., tuženik odgovor na žalbu 25.02.2025.g. O žalbi nije odlučeno.</w:t>
            </w:r>
          </w:p>
          <w:p w14:paraId="4AB1E993" w14:textId="77777777" w:rsidR="004D1A9F" w:rsidRPr="00BE51EF" w:rsidRDefault="004D1A9F" w:rsidP="00D73FB9">
            <w:pPr>
              <w:jc w:val="both"/>
              <w:rPr>
                <w:rFonts w:ascii="Times New Roman" w:hAnsi="Times New Roman" w:cs="Times New Roman"/>
                <w:sz w:val="24"/>
                <w:szCs w:val="24"/>
              </w:rPr>
            </w:pPr>
          </w:p>
        </w:tc>
        <w:tc>
          <w:tcPr>
            <w:tcW w:w="855" w:type="pct"/>
          </w:tcPr>
          <w:p w14:paraId="265A7828" w14:textId="77777777" w:rsidR="004D1A9F" w:rsidRPr="00BE51EF" w:rsidRDefault="004D1A9F" w:rsidP="00D73FB9">
            <w:pPr>
              <w:jc w:val="both"/>
              <w:rPr>
                <w:rFonts w:ascii="Times New Roman" w:hAnsi="Times New Roman" w:cs="Times New Roman"/>
                <w:sz w:val="24"/>
                <w:szCs w:val="24"/>
              </w:rPr>
            </w:pPr>
          </w:p>
        </w:tc>
        <w:tc>
          <w:tcPr>
            <w:tcW w:w="543" w:type="pct"/>
          </w:tcPr>
          <w:p w14:paraId="77C06281" w14:textId="77777777" w:rsidR="004D1A9F" w:rsidRPr="00BE51EF" w:rsidRDefault="004D1A9F" w:rsidP="00D73FB9">
            <w:pPr>
              <w:jc w:val="both"/>
              <w:rPr>
                <w:rFonts w:ascii="Times New Roman" w:hAnsi="Times New Roman" w:cs="Times New Roman"/>
                <w:sz w:val="24"/>
                <w:szCs w:val="24"/>
              </w:rPr>
            </w:pPr>
            <w:r w:rsidRPr="00BE51EF">
              <w:rPr>
                <w:rFonts w:ascii="Times New Roman" w:hAnsi="Times New Roman" w:cs="Times New Roman"/>
                <w:sz w:val="24"/>
                <w:szCs w:val="24"/>
              </w:rPr>
              <w:t>10.923,49 EUR</w:t>
            </w:r>
          </w:p>
        </w:tc>
      </w:tr>
      <w:tr w:rsidR="004D1A9F" w:rsidRPr="00BE51EF" w14:paraId="7FF90254" w14:textId="77777777" w:rsidTr="00CF3541">
        <w:trPr>
          <w:trHeight w:val="1236"/>
        </w:trPr>
        <w:tc>
          <w:tcPr>
            <w:tcW w:w="1081" w:type="pct"/>
          </w:tcPr>
          <w:p w14:paraId="6FE164C3"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2. L.A. /NSK; Općinski radni sud u Zagrebu, Pr-413/2022 </w:t>
            </w:r>
          </w:p>
        </w:tc>
        <w:tc>
          <w:tcPr>
            <w:tcW w:w="1035" w:type="pct"/>
          </w:tcPr>
          <w:p w14:paraId="34E38FD1"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Isplate (dodatak plaći zbog otežanih uvjeta rada za razdoblje 2012.-2014.), </w:t>
            </w:r>
            <w:proofErr w:type="spellStart"/>
            <w:r w:rsidRPr="00BE51EF">
              <w:rPr>
                <w:rFonts w:ascii="Times New Roman" w:eastAsia="Calibri" w:hAnsi="Times New Roman" w:cs="Times New Roman"/>
                <w:sz w:val="24"/>
                <w:szCs w:val="24"/>
              </w:rPr>
              <w:t>vps</w:t>
            </w:r>
            <w:proofErr w:type="spellEnd"/>
            <w:r w:rsidRPr="00BE51EF">
              <w:rPr>
                <w:rFonts w:ascii="Times New Roman" w:eastAsia="Calibri" w:hAnsi="Times New Roman" w:cs="Times New Roman"/>
                <w:sz w:val="24"/>
                <w:szCs w:val="24"/>
              </w:rPr>
              <w:t xml:space="preserve">: 1.842,28 EUR (glavnica bez </w:t>
            </w:r>
            <w:proofErr w:type="spellStart"/>
            <w:r w:rsidRPr="00BE51EF">
              <w:rPr>
                <w:rFonts w:ascii="Times New Roman" w:eastAsia="Calibri" w:hAnsi="Times New Roman" w:cs="Times New Roman"/>
                <w:sz w:val="24"/>
                <w:szCs w:val="24"/>
              </w:rPr>
              <w:t>kta</w:t>
            </w:r>
            <w:proofErr w:type="spellEnd"/>
            <w:r w:rsidRPr="00BE51EF">
              <w:rPr>
                <w:rFonts w:ascii="Times New Roman" w:eastAsia="Calibri" w:hAnsi="Times New Roman" w:cs="Times New Roman"/>
                <w:sz w:val="24"/>
                <w:szCs w:val="24"/>
              </w:rPr>
              <w:t>)</w:t>
            </w:r>
          </w:p>
        </w:tc>
        <w:tc>
          <w:tcPr>
            <w:tcW w:w="1486" w:type="pct"/>
          </w:tcPr>
          <w:p w14:paraId="19110BE3"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Presudom od dana 25.4.2025.g. usvojen u cijelosti tužbeni zahtjev tužiteljice. Tuženik uložio žalbu 6.5.2025. g.</w:t>
            </w:r>
          </w:p>
        </w:tc>
        <w:tc>
          <w:tcPr>
            <w:tcW w:w="855" w:type="pct"/>
          </w:tcPr>
          <w:p w14:paraId="3E01B777" w14:textId="77777777" w:rsidR="004D1A9F" w:rsidRPr="00BE51EF" w:rsidRDefault="004D1A9F" w:rsidP="00D73FB9">
            <w:pPr>
              <w:jc w:val="both"/>
              <w:rPr>
                <w:rFonts w:ascii="Times New Roman" w:hAnsi="Times New Roman" w:cs="Times New Roman"/>
                <w:sz w:val="24"/>
                <w:szCs w:val="24"/>
              </w:rPr>
            </w:pPr>
          </w:p>
        </w:tc>
        <w:tc>
          <w:tcPr>
            <w:tcW w:w="543" w:type="pct"/>
          </w:tcPr>
          <w:p w14:paraId="62E82C51"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1.842,28 EUR</w:t>
            </w:r>
          </w:p>
        </w:tc>
      </w:tr>
      <w:tr w:rsidR="004D1A9F" w:rsidRPr="00BE51EF" w14:paraId="596E49F2" w14:textId="77777777" w:rsidTr="00CF3541">
        <w:trPr>
          <w:trHeight w:val="1266"/>
        </w:trPr>
        <w:tc>
          <w:tcPr>
            <w:tcW w:w="1081" w:type="pct"/>
          </w:tcPr>
          <w:p w14:paraId="0EDB47BB"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3. K.J. /NSK; Općinski radni sud u Zagrebu, Pr-8147/2020 </w:t>
            </w:r>
          </w:p>
        </w:tc>
        <w:tc>
          <w:tcPr>
            <w:tcW w:w="1035" w:type="pct"/>
          </w:tcPr>
          <w:p w14:paraId="0D5B841D"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Isplate (dodatak plaći zbog otežanih uvjeta rada za razdoblje 2012.-2014.); </w:t>
            </w:r>
            <w:proofErr w:type="spellStart"/>
            <w:r w:rsidRPr="00BE51EF">
              <w:rPr>
                <w:rFonts w:ascii="Times New Roman" w:eastAsia="Calibri" w:hAnsi="Times New Roman" w:cs="Times New Roman"/>
                <w:sz w:val="24"/>
                <w:szCs w:val="24"/>
              </w:rPr>
              <w:t>vps</w:t>
            </w:r>
            <w:proofErr w:type="spellEnd"/>
            <w:r w:rsidRPr="00BE51EF">
              <w:rPr>
                <w:rFonts w:ascii="Times New Roman" w:eastAsia="Calibri" w:hAnsi="Times New Roman" w:cs="Times New Roman"/>
                <w:sz w:val="24"/>
                <w:szCs w:val="24"/>
              </w:rPr>
              <w:t xml:space="preserve">: 1.842,25 EUR (glavnica bez </w:t>
            </w:r>
            <w:proofErr w:type="spellStart"/>
            <w:r w:rsidRPr="00BE51EF">
              <w:rPr>
                <w:rFonts w:ascii="Times New Roman" w:eastAsia="Calibri" w:hAnsi="Times New Roman" w:cs="Times New Roman"/>
                <w:sz w:val="24"/>
                <w:szCs w:val="24"/>
              </w:rPr>
              <w:t>kta</w:t>
            </w:r>
            <w:proofErr w:type="spellEnd"/>
            <w:r w:rsidRPr="00BE51EF">
              <w:rPr>
                <w:rFonts w:ascii="Times New Roman" w:eastAsia="Calibri" w:hAnsi="Times New Roman" w:cs="Times New Roman"/>
                <w:sz w:val="24"/>
                <w:szCs w:val="24"/>
              </w:rPr>
              <w:t>)</w:t>
            </w:r>
          </w:p>
        </w:tc>
        <w:tc>
          <w:tcPr>
            <w:tcW w:w="1486" w:type="pct"/>
          </w:tcPr>
          <w:p w14:paraId="0AE80256"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Presudom od dana 17.12.2025.g. usvojen u cijelosti tužbeni zahtjev tužiteljice, uključivo parnični trošak 870,00 EUR. Tuženik uložio žalbu 29.12.2025. g.</w:t>
            </w:r>
          </w:p>
        </w:tc>
        <w:tc>
          <w:tcPr>
            <w:tcW w:w="855" w:type="pct"/>
          </w:tcPr>
          <w:p w14:paraId="01AE60C2" w14:textId="77777777" w:rsidR="004D1A9F" w:rsidRPr="00BE51EF" w:rsidRDefault="004D1A9F" w:rsidP="00D73FB9">
            <w:pPr>
              <w:jc w:val="both"/>
              <w:rPr>
                <w:rFonts w:ascii="Times New Roman" w:hAnsi="Times New Roman" w:cs="Times New Roman"/>
                <w:sz w:val="24"/>
                <w:szCs w:val="24"/>
              </w:rPr>
            </w:pPr>
          </w:p>
        </w:tc>
        <w:tc>
          <w:tcPr>
            <w:tcW w:w="543" w:type="pct"/>
          </w:tcPr>
          <w:p w14:paraId="19C298D8"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1.842,25 EUR</w:t>
            </w:r>
          </w:p>
        </w:tc>
      </w:tr>
      <w:tr w:rsidR="004D1A9F" w:rsidRPr="00BE51EF" w14:paraId="0DB05BAE" w14:textId="77777777" w:rsidTr="00CF3541">
        <w:trPr>
          <w:trHeight w:val="132"/>
        </w:trPr>
        <w:tc>
          <w:tcPr>
            <w:tcW w:w="1081" w:type="pct"/>
          </w:tcPr>
          <w:p w14:paraId="7717B196"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4.  R.M. /NSK; Općinski radni sud u Zagrebu, Pr-106/2023 </w:t>
            </w:r>
          </w:p>
        </w:tc>
        <w:tc>
          <w:tcPr>
            <w:tcW w:w="1035" w:type="pct"/>
          </w:tcPr>
          <w:p w14:paraId="6304BE2D"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Isplate (dodatak plaći zbog otežanih uvjeta rada za razdoblje 2012.-2014.), </w:t>
            </w:r>
            <w:proofErr w:type="spellStart"/>
            <w:r w:rsidRPr="00BE51EF">
              <w:rPr>
                <w:rFonts w:ascii="Times New Roman" w:eastAsia="Calibri" w:hAnsi="Times New Roman" w:cs="Times New Roman"/>
                <w:sz w:val="24"/>
                <w:szCs w:val="24"/>
              </w:rPr>
              <w:t>vps</w:t>
            </w:r>
            <w:proofErr w:type="spellEnd"/>
            <w:r w:rsidRPr="00BE51EF">
              <w:rPr>
                <w:rFonts w:ascii="Times New Roman" w:eastAsia="Calibri" w:hAnsi="Times New Roman" w:cs="Times New Roman"/>
                <w:sz w:val="24"/>
                <w:szCs w:val="24"/>
              </w:rPr>
              <w:t xml:space="preserve">: 2.089,20 EUR (glavnica bez </w:t>
            </w:r>
            <w:proofErr w:type="spellStart"/>
            <w:r w:rsidRPr="00BE51EF">
              <w:rPr>
                <w:rFonts w:ascii="Times New Roman" w:eastAsia="Calibri" w:hAnsi="Times New Roman" w:cs="Times New Roman"/>
                <w:sz w:val="24"/>
                <w:szCs w:val="24"/>
              </w:rPr>
              <w:t>kta</w:t>
            </w:r>
            <w:proofErr w:type="spellEnd"/>
            <w:r w:rsidRPr="00BE51EF">
              <w:rPr>
                <w:rFonts w:ascii="Times New Roman" w:eastAsia="Calibri" w:hAnsi="Times New Roman" w:cs="Times New Roman"/>
                <w:sz w:val="24"/>
                <w:szCs w:val="24"/>
              </w:rPr>
              <w:t>)</w:t>
            </w:r>
          </w:p>
        </w:tc>
        <w:tc>
          <w:tcPr>
            <w:tcW w:w="1486" w:type="pct"/>
          </w:tcPr>
          <w:p w14:paraId="4800B9C3"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Općinski radni sud u Zagrebu je dana 22. prosinca 2017. godine donio presudu kojom se odbija tužbeni zahtjev tužitelja. Tužitelj na prvostupanjsku presudu ulaže žalbu dana 3. siječnja 2018. g., na koju se tužitelj odgovorom očituje dana 15. ožujka 2018. godine. U tijeku žalbeni postupak pred Županijskim sudom u Rijeci. Drugostupanjski sud donosi </w:t>
            </w:r>
            <w:r w:rsidRPr="00BE51EF">
              <w:rPr>
                <w:rFonts w:ascii="Times New Roman" w:eastAsia="Calibri" w:hAnsi="Times New Roman" w:cs="Times New Roman"/>
                <w:sz w:val="24"/>
                <w:szCs w:val="24"/>
              </w:rPr>
              <w:lastRenderedPageBreak/>
              <w:t>rješenje kojim ukida prvostupanjsku presudu i predmet vraća na ponovno suđenje dana 7. prosinca 2022. godine. U tijeku ponovljeni prvostupanjski postupak.</w:t>
            </w:r>
          </w:p>
          <w:p w14:paraId="5EE33984" w14:textId="77777777" w:rsidR="004D1A9F" w:rsidRPr="00BE51EF" w:rsidRDefault="004D1A9F" w:rsidP="00D73FB9">
            <w:pPr>
              <w:jc w:val="both"/>
              <w:rPr>
                <w:rFonts w:ascii="Times New Roman" w:eastAsia="Calibri" w:hAnsi="Times New Roman" w:cs="Times New Roman"/>
                <w:sz w:val="24"/>
                <w:szCs w:val="24"/>
              </w:rPr>
            </w:pPr>
          </w:p>
        </w:tc>
        <w:tc>
          <w:tcPr>
            <w:tcW w:w="855" w:type="pct"/>
          </w:tcPr>
          <w:p w14:paraId="4E226853" w14:textId="77777777" w:rsidR="004D1A9F" w:rsidRPr="00BE51EF" w:rsidRDefault="004D1A9F" w:rsidP="00D73FB9">
            <w:pPr>
              <w:jc w:val="both"/>
              <w:rPr>
                <w:rFonts w:ascii="Times New Roman" w:hAnsi="Times New Roman" w:cs="Times New Roman"/>
                <w:sz w:val="24"/>
                <w:szCs w:val="24"/>
              </w:rPr>
            </w:pPr>
          </w:p>
        </w:tc>
        <w:tc>
          <w:tcPr>
            <w:tcW w:w="543" w:type="pct"/>
          </w:tcPr>
          <w:p w14:paraId="19091D29"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2.089,20 EUR</w:t>
            </w:r>
          </w:p>
        </w:tc>
      </w:tr>
      <w:tr w:rsidR="004D1A9F" w:rsidRPr="00BE51EF" w14:paraId="115BAECA" w14:textId="77777777" w:rsidTr="00CF3541">
        <w:tc>
          <w:tcPr>
            <w:tcW w:w="1081" w:type="pct"/>
          </w:tcPr>
          <w:p w14:paraId="41B9D503"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5.  S.R.M. /NSK; Općinski radni sud u Zagrebu, Pr-6692/2020 </w:t>
            </w:r>
          </w:p>
        </w:tc>
        <w:tc>
          <w:tcPr>
            <w:tcW w:w="1035" w:type="pct"/>
          </w:tcPr>
          <w:p w14:paraId="112DB3C7"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Isplate (dodatak plaći zbog otežanih uvjeta rada za razdoblje 2012.-2014.); </w:t>
            </w:r>
            <w:proofErr w:type="spellStart"/>
            <w:r w:rsidRPr="00BE51EF">
              <w:rPr>
                <w:rFonts w:ascii="Times New Roman" w:eastAsia="Calibri" w:hAnsi="Times New Roman" w:cs="Times New Roman"/>
                <w:sz w:val="24"/>
                <w:szCs w:val="24"/>
              </w:rPr>
              <w:t>vps</w:t>
            </w:r>
            <w:proofErr w:type="spellEnd"/>
            <w:r w:rsidRPr="00BE51EF">
              <w:rPr>
                <w:rFonts w:ascii="Times New Roman" w:eastAsia="Calibri" w:hAnsi="Times New Roman" w:cs="Times New Roman"/>
                <w:sz w:val="24"/>
                <w:szCs w:val="24"/>
              </w:rPr>
              <w:t xml:space="preserve">: 2.079,84 EUR (glavnica bez </w:t>
            </w:r>
            <w:proofErr w:type="spellStart"/>
            <w:r w:rsidRPr="00BE51EF">
              <w:rPr>
                <w:rFonts w:ascii="Times New Roman" w:eastAsia="Calibri" w:hAnsi="Times New Roman" w:cs="Times New Roman"/>
                <w:sz w:val="24"/>
                <w:szCs w:val="24"/>
              </w:rPr>
              <w:t>kta</w:t>
            </w:r>
            <w:proofErr w:type="spellEnd"/>
            <w:r w:rsidRPr="00BE51EF">
              <w:rPr>
                <w:rFonts w:ascii="Times New Roman" w:eastAsia="Calibri" w:hAnsi="Times New Roman" w:cs="Times New Roman"/>
                <w:sz w:val="24"/>
                <w:szCs w:val="24"/>
              </w:rPr>
              <w:t>)</w:t>
            </w:r>
          </w:p>
        </w:tc>
        <w:tc>
          <w:tcPr>
            <w:tcW w:w="1486" w:type="pct"/>
          </w:tcPr>
          <w:p w14:paraId="21568B0C"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Presudom od dana 14.11.2025.g. usvojen u cijelosti tužbeni zahtjev tužiteljice. Tuženik uložio žalbu 25.11.2025. godine.</w:t>
            </w:r>
          </w:p>
        </w:tc>
        <w:tc>
          <w:tcPr>
            <w:tcW w:w="855" w:type="pct"/>
          </w:tcPr>
          <w:p w14:paraId="10211637" w14:textId="77777777" w:rsidR="004D1A9F" w:rsidRPr="00BE51EF" w:rsidRDefault="004D1A9F" w:rsidP="00D73FB9">
            <w:pPr>
              <w:jc w:val="both"/>
              <w:rPr>
                <w:rFonts w:ascii="Times New Roman" w:hAnsi="Times New Roman" w:cs="Times New Roman"/>
                <w:sz w:val="24"/>
                <w:szCs w:val="24"/>
              </w:rPr>
            </w:pPr>
          </w:p>
        </w:tc>
        <w:tc>
          <w:tcPr>
            <w:tcW w:w="543" w:type="pct"/>
          </w:tcPr>
          <w:p w14:paraId="605E0110"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2.079,84 EUR</w:t>
            </w:r>
          </w:p>
        </w:tc>
      </w:tr>
      <w:tr w:rsidR="004D1A9F" w:rsidRPr="00BE51EF" w14:paraId="19BB67A5" w14:textId="77777777" w:rsidTr="00CF3541">
        <w:trPr>
          <w:trHeight w:val="1972"/>
        </w:trPr>
        <w:tc>
          <w:tcPr>
            <w:tcW w:w="1081" w:type="pct"/>
          </w:tcPr>
          <w:p w14:paraId="054D250C" w14:textId="77777777" w:rsidR="004D1A9F" w:rsidRPr="00BE51EF" w:rsidRDefault="004D1A9F" w:rsidP="00D73FB9">
            <w:pPr>
              <w:ind w:left="-113"/>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   6. </w:t>
            </w:r>
            <w:proofErr w:type="spellStart"/>
            <w:r w:rsidRPr="00BE51EF">
              <w:rPr>
                <w:rFonts w:ascii="Times New Roman" w:eastAsia="Calibri" w:hAnsi="Times New Roman" w:cs="Times New Roman"/>
                <w:sz w:val="24"/>
                <w:szCs w:val="24"/>
              </w:rPr>
              <w:t>Lj.Š</w:t>
            </w:r>
            <w:proofErr w:type="spellEnd"/>
            <w:r w:rsidRPr="00BE51EF">
              <w:rPr>
                <w:rFonts w:ascii="Times New Roman" w:eastAsia="Calibri" w:hAnsi="Times New Roman" w:cs="Times New Roman"/>
                <w:sz w:val="24"/>
                <w:szCs w:val="24"/>
              </w:rPr>
              <w:t>. / NSK, Upravni</w:t>
            </w:r>
          </w:p>
          <w:p w14:paraId="7B92F088" w14:textId="77777777" w:rsidR="004D1A9F" w:rsidRPr="00BE51EF" w:rsidRDefault="004D1A9F" w:rsidP="00D73FB9">
            <w:pPr>
              <w:ind w:left="313" w:hanging="142"/>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 sud u Rijeci, Uszp-23/2020</w:t>
            </w:r>
          </w:p>
        </w:tc>
        <w:tc>
          <w:tcPr>
            <w:tcW w:w="1035" w:type="pct"/>
          </w:tcPr>
          <w:p w14:paraId="4F2293EE"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Radi poništenja natječaja</w:t>
            </w:r>
          </w:p>
        </w:tc>
        <w:tc>
          <w:tcPr>
            <w:tcW w:w="1486" w:type="pct"/>
          </w:tcPr>
          <w:p w14:paraId="7C91FB7B"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Presudom Upravnog suda od 29.04.2021. g. odbijen tužbeni zahtjev za poništenje natječaja Klasa: 100-01/20-01/12 te tužitelju naloženo naknaditi trošak postupka od 3.125,00 kn (</w:t>
            </w:r>
            <w:r w:rsidRPr="00BE51EF">
              <w:rPr>
                <w:rFonts w:ascii="Times New Roman" w:hAnsi="Times New Roman" w:cs="Times New Roman"/>
                <w:sz w:val="24"/>
                <w:szCs w:val="24"/>
              </w:rPr>
              <w:t>414,76 EUR)</w:t>
            </w:r>
            <w:r w:rsidRPr="00BE51EF">
              <w:rPr>
                <w:rFonts w:ascii="Times New Roman" w:eastAsia="Calibri" w:hAnsi="Times New Roman" w:cs="Times New Roman"/>
                <w:sz w:val="24"/>
                <w:szCs w:val="24"/>
              </w:rPr>
              <w:t>. Tužitelj uložio žalbu dana 19.05.2021. g. na koju je tuženik podnio odgovor dana 7. 06.2021. godine. U tijeku je drugostupanjski postupak.</w:t>
            </w:r>
          </w:p>
        </w:tc>
        <w:tc>
          <w:tcPr>
            <w:tcW w:w="855" w:type="pct"/>
          </w:tcPr>
          <w:p w14:paraId="07699EB7" w14:textId="77777777" w:rsidR="004D1A9F" w:rsidRPr="00BE51EF" w:rsidRDefault="004D1A9F" w:rsidP="00D73FB9">
            <w:pPr>
              <w:jc w:val="both"/>
              <w:rPr>
                <w:rFonts w:ascii="Times New Roman" w:hAnsi="Times New Roman" w:cs="Times New Roman"/>
                <w:sz w:val="24"/>
                <w:szCs w:val="24"/>
              </w:rPr>
            </w:pPr>
            <w:r w:rsidRPr="00BE51EF">
              <w:rPr>
                <w:rFonts w:ascii="Times New Roman" w:hAnsi="Times New Roman" w:cs="Times New Roman"/>
                <w:sz w:val="24"/>
                <w:szCs w:val="24"/>
              </w:rPr>
              <w:t>NSK kao tuženik sam se zastupa u sporu (odredbe ZUS-a)-</w:t>
            </w:r>
          </w:p>
        </w:tc>
        <w:tc>
          <w:tcPr>
            <w:tcW w:w="543" w:type="pct"/>
          </w:tcPr>
          <w:p w14:paraId="79FA7DDC" w14:textId="77777777" w:rsidR="004D1A9F" w:rsidRPr="00BE51EF" w:rsidRDefault="004D1A9F" w:rsidP="00D73FB9">
            <w:pPr>
              <w:jc w:val="both"/>
              <w:rPr>
                <w:rFonts w:ascii="Times New Roman" w:hAnsi="Times New Roman" w:cs="Times New Roman"/>
                <w:sz w:val="24"/>
                <w:szCs w:val="24"/>
              </w:rPr>
            </w:pPr>
            <w:r w:rsidRPr="00BE51EF">
              <w:rPr>
                <w:rFonts w:ascii="Times New Roman" w:hAnsi="Times New Roman" w:cs="Times New Roman"/>
                <w:sz w:val="24"/>
                <w:szCs w:val="24"/>
              </w:rPr>
              <w:t>414,76 EUR</w:t>
            </w:r>
          </w:p>
        </w:tc>
      </w:tr>
      <w:tr w:rsidR="004D1A9F" w:rsidRPr="00BE51EF" w14:paraId="7511A55A" w14:textId="77777777" w:rsidTr="00CF3541">
        <w:tc>
          <w:tcPr>
            <w:tcW w:w="1081" w:type="pct"/>
          </w:tcPr>
          <w:p w14:paraId="4583EF32"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7. Tužbe zaposlenika NSK/NSK</w:t>
            </w:r>
          </w:p>
        </w:tc>
        <w:tc>
          <w:tcPr>
            <w:tcW w:w="1035" w:type="pct"/>
          </w:tcPr>
          <w:p w14:paraId="717C2B3A"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Radi isplate razlike plaća temeljem odredbe članka III.</w:t>
            </w:r>
          </w:p>
          <w:p w14:paraId="439336A6"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Izmjena i dopuna Dodatka Sporazuma o osnovici plaće u javnim službama sklopljenog 26. listopada 2011. između Vlade RH i Sindikata javnih službi</w:t>
            </w:r>
          </w:p>
        </w:tc>
        <w:tc>
          <w:tcPr>
            <w:tcW w:w="1486" w:type="pct"/>
          </w:tcPr>
          <w:p w14:paraId="01A44B69" w14:textId="77777777" w:rsidR="004D1A9F" w:rsidRPr="00BE51EF" w:rsidRDefault="004D1A9F" w:rsidP="00D73FB9">
            <w:pPr>
              <w:jc w:val="both"/>
              <w:rPr>
                <w:rFonts w:ascii="Times New Roman" w:eastAsia="Calibri" w:hAnsi="Times New Roman" w:cs="Times New Roman"/>
                <w:sz w:val="24"/>
                <w:szCs w:val="24"/>
              </w:rPr>
            </w:pPr>
          </w:p>
        </w:tc>
        <w:tc>
          <w:tcPr>
            <w:tcW w:w="855" w:type="pct"/>
          </w:tcPr>
          <w:p w14:paraId="16EDAB1A"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Predmeti su okončani i plaćeni su dosuđeni iznosi po svim predmetima. Za manji broj predmeta još nismo zaprimili rješenje o iznosu sudske pristojbe.</w:t>
            </w:r>
          </w:p>
        </w:tc>
        <w:tc>
          <w:tcPr>
            <w:tcW w:w="543" w:type="pct"/>
          </w:tcPr>
          <w:p w14:paraId="36C9C184"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N/P</w:t>
            </w:r>
          </w:p>
        </w:tc>
      </w:tr>
      <w:tr w:rsidR="004D1A9F" w:rsidRPr="00BE51EF" w14:paraId="43EFCC5A" w14:textId="77777777" w:rsidTr="00CF3541">
        <w:tc>
          <w:tcPr>
            <w:tcW w:w="1081" w:type="pct"/>
          </w:tcPr>
          <w:p w14:paraId="41015F49"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8. V.M. /NSK, Općinski radni sud u Zagrebu, Pr-498/2024</w:t>
            </w:r>
          </w:p>
          <w:p w14:paraId="6CB15B71"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p w14:paraId="6B0DFBC7"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p w14:paraId="1280F9B5"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p w14:paraId="78F84455"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p w14:paraId="676257D4"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tc>
        <w:tc>
          <w:tcPr>
            <w:tcW w:w="1035" w:type="pct"/>
          </w:tcPr>
          <w:p w14:paraId="42D05009" w14:textId="77777777" w:rsidR="004D1A9F" w:rsidRPr="00BE51EF" w:rsidRDefault="004D1A9F" w:rsidP="00D73FB9">
            <w:pPr>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lastRenderedPageBreak/>
              <w:t xml:space="preserve">Radi utvrđenja nedopuštenosti otkaza i </w:t>
            </w:r>
            <w:r w:rsidRPr="00BE51EF">
              <w:rPr>
                <w:rFonts w:ascii="Times New Roman" w:eastAsia="Calibri" w:hAnsi="Times New Roman" w:cs="Times New Roman"/>
                <w:sz w:val="24"/>
                <w:szCs w:val="24"/>
              </w:rPr>
              <w:lastRenderedPageBreak/>
              <w:t>vraćanja zaposlenika na rad.</w:t>
            </w:r>
          </w:p>
          <w:p w14:paraId="4C9B31F3" w14:textId="77777777" w:rsidR="004D1A9F" w:rsidRPr="00BE51EF" w:rsidRDefault="004D1A9F" w:rsidP="00D73FB9">
            <w:pPr>
              <w:jc w:val="both"/>
              <w:rPr>
                <w:rFonts w:ascii="Times New Roman" w:eastAsia="Calibri" w:hAnsi="Times New Roman" w:cs="Times New Roman"/>
                <w:sz w:val="24"/>
                <w:szCs w:val="24"/>
              </w:rPr>
            </w:pPr>
          </w:p>
        </w:tc>
        <w:tc>
          <w:tcPr>
            <w:tcW w:w="1486" w:type="pct"/>
          </w:tcPr>
          <w:p w14:paraId="78D81875"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lastRenderedPageBreak/>
              <w:t>Tužba 22.4.2024.g, odgovor na tužbu 16.5.2024.g.</w:t>
            </w:r>
          </w:p>
          <w:p w14:paraId="152F30E6"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lastRenderedPageBreak/>
              <w:t>Zaključena glavna rasprava na ročištu 11.12.2025.g., ročište za objavu presude zakazano za dan 22.01.2026.g.</w:t>
            </w:r>
          </w:p>
        </w:tc>
        <w:tc>
          <w:tcPr>
            <w:tcW w:w="855" w:type="pct"/>
          </w:tcPr>
          <w:p w14:paraId="4E73ACB7" w14:textId="77777777" w:rsidR="004D1A9F" w:rsidRPr="00BE51EF" w:rsidRDefault="004D1A9F" w:rsidP="00D73FB9">
            <w:pPr>
              <w:jc w:val="both"/>
              <w:rPr>
                <w:rFonts w:ascii="Times New Roman" w:hAnsi="Times New Roman" w:cs="Times New Roman"/>
                <w:sz w:val="24"/>
                <w:szCs w:val="24"/>
              </w:rPr>
            </w:pPr>
          </w:p>
        </w:tc>
        <w:tc>
          <w:tcPr>
            <w:tcW w:w="543" w:type="pct"/>
          </w:tcPr>
          <w:p w14:paraId="46B5B50F" w14:textId="77777777" w:rsidR="004D1A9F" w:rsidRPr="00BE51EF" w:rsidRDefault="004D1A9F" w:rsidP="00D73FB9">
            <w:pPr>
              <w:jc w:val="both"/>
              <w:rPr>
                <w:rFonts w:ascii="Times New Roman" w:hAnsi="Times New Roman" w:cs="Times New Roman"/>
                <w:sz w:val="24"/>
                <w:szCs w:val="24"/>
              </w:rPr>
            </w:pPr>
            <w:r w:rsidRPr="00BE51EF">
              <w:rPr>
                <w:rFonts w:ascii="Times New Roman" w:hAnsi="Times New Roman" w:cs="Times New Roman"/>
                <w:sz w:val="24"/>
                <w:szCs w:val="24"/>
              </w:rPr>
              <w:t>N/P</w:t>
            </w:r>
          </w:p>
        </w:tc>
      </w:tr>
      <w:tr w:rsidR="004D1A9F" w:rsidRPr="00BE51EF" w14:paraId="7F86B085" w14:textId="77777777" w:rsidTr="00CF3541">
        <w:tc>
          <w:tcPr>
            <w:tcW w:w="1081" w:type="pct"/>
          </w:tcPr>
          <w:p w14:paraId="617F729C" w14:textId="77777777" w:rsidR="004D1A9F" w:rsidRPr="00BE51EF" w:rsidRDefault="004D1A9F" w:rsidP="00D73FB9">
            <w:pPr>
              <w:ind w:left="313" w:hanging="284"/>
              <w:contextualSpacing/>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 xml:space="preserve">9.  NSK kao oštećenik; Županijski sud u Zagrebu, K-41/2025,  </w:t>
            </w:r>
          </w:p>
        </w:tc>
        <w:tc>
          <w:tcPr>
            <w:tcW w:w="1035" w:type="pct"/>
          </w:tcPr>
          <w:p w14:paraId="715CA34F" w14:textId="77777777" w:rsidR="004D1A9F" w:rsidRPr="00BE51EF" w:rsidRDefault="004D1A9F" w:rsidP="00D73FB9">
            <w:pPr>
              <w:jc w:val="both"/>
              <w:rPr>
                <w:rFonts w:ascii="Times New Roman" w:eastAsia="Calibri" w:hAnsi="Times New Roman" w:cs="Times New Roman"/>
                <w:sz w:val="24"/>
                <w:szCs w:val="24"/>
              </w:rPr>
            </w:pPr>
          </w:p>
        </w:tc>
        <w:tc>
          <w:tcPr>
            <w:tcW w:w="1486" w:type="pct"/>
          </w:tcPr>
          <w:p w14:paraId="09F20956" w14:textId="77777777" w:rsidR="004D1A9F" w:rsidRPr="00BE51EF" w:rsidRDefault="004D1A9F" w:rsidP="00D73FB9">
            <w:pPr>
              <w:jc w:val="both"/>
              <w:rPr>
                <w:rFonts w:ascii="Times New Roman" w:eastAsia="Calibri" w:hAnsi="Times New Roman" w:cs="Times New Roman"/>
                <w:sz w:val="24"/>
                <w:szCs w:val="24"/>
              </w:rPr>
            </w:pPr>
            <w:r w:rsidRPr="00BE51EF">
              <w:rPr>
                <w:rFonts w:ascii="Times New Roman" w:eastAsia="Calibri" w:hAnsi="Times New Roman" w:cs="Times New Roman"/>
                <w:sz w:val="24"/>
                <w:szCs w:val="24"/>
              </w:rPr>
              <w:t>NSK postavio imovinskopravni zahtjev (</w:t>
            </w:r>
            <w:bookmarkStart w:id="0" w:name="_Hlk218679803"/>
            <w:r w:rsidRPr="00BE51EF">
              <w:rPr>
                <w:rFonts w:ascii="Times New Roman" w:eastAsia="Calibri" w:hAnsi="Times New Roman" w:cs="Times New Roman"/>
                <w:sz w:val="24"/>
                <w:szCs w:val="24"/>
              </w:rPr>
              <w:t>42.493,95 EUR</w:t>
            </w:r>
            <w:bookmarkEnd w:id="0"/>
            <w:r w:rsidRPr="00BE51EF">
              <w:rPr>
                <w:rFonts w:ascii="Times New Roman" w:eastAsia="Calibri" w:hAnsi="Times New Roman" w:cs="Times New Roman"/>
                <w:sz w:val="24"/>
                <w:szCs w:val="24"/>
              </w:rPr>
              <w:t>) i predložio privremenu mjeru. Rješenje 21.11.2024.g. – po prijedlogu NSK određena privremena mjera osiguranja zabrane otuđenja i opterećenja nekretnine i upis zabilježbe mjere u zemljišnim knjigama. Glavna rasprava održana 29.10.2025.g.</w:t>
            </w:r>
          </w:p>
        </w:tc>
        <w:tc>
          <w:tcPr>
            <w:tcW w:w="855" w:type="pct"/>
          </w:tcPr>
          <w:p w14:paraId="255CD0A1" w14:textId="77777777" w:rsidR="004D1A9F" w:rsidRPr="00BE51EF" w:rsidRDefault="004D1A9F" w:rsidP="00D73FB9">
            <w:pPr>
              <w:jc w:val="both"/>
              <w:rPr>
                <w:rFonts w:ascii="Times New Roman" w:hAnsi="Times New Roman" w:cs="Times New Roman"/>
                <w:sz w:val="24"/>
                <w:szCs w:val="24"/>
              </w:rPr>
            </w:pPr>
          </w:p>
        </w:tc>
        <w:tc>
          <w:tcPr>
            <w:tcW w:w="543" w:type="pct"/>
          </w:tcPr>
          <w:p w14:paraId="74BC86A7" w14:textId="77777777" w:rsidR="004D1A9F" w:rsidRPr="00BE51EF" w:rsidRDefault="004D1A9F" w:rsidP="00D73FB9">
            <w:pPr>
              <w:jc w:val="both"/>
              <w:rPr>
                <w:rFonts w:ascii="Times New Roman" w:hAnsi="Times New Roman" w:cs="Times New Roman"/>
                <w:sz w:val="24"/>
                <w:szCs w:val="24"/>
              </w:rPr>
            </w:pPr>
            <w:r w:rsidRPr="00BE51EF">
              <w:rPr>
                <w:rFonts w:ascii="Times New Roman" w:eastAsia="Calibri" w:hAnsi="Times New Roman" w:cs="Times New Roman"/>
                <w:sz w:val="24"/>
                <w:szCs w:val="24"/>
              </w:rPr>
              <w:t>42.493,95 EUR</w:t>
            </w:r>
          </w:p>
        </w:tc>
      </w:tr>
      <w:tr w:rsidR="004D1A9F" w:rsidRPr="00BE51EF" w14:paraId="50DC81BD" w14:textId="77777777" w:rsidTr="00CF3541">
        <w:tc>
          <w:tcPr>
            <w:tcW w:w="1081" w:type="pct"/>
          </w:tcPr>
          <w:p w14:paraId="6D2EE842"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tc>
        <w:tc>
          <w:tcPr>
            <w:tcW w:w="1035" w:type="pct"/>
          </w:tcPr>
          <w:p w14:paraId="3B911540" w14:textId="77777777" w:rsidR="004D1A9F" w:rsidRPr="00BE51EF" w:rsidRDefault="004D1A9F" w:rsidP="00D73FB9">
            <w:pPr>
              <w:jc w:val="both"/>
              <w:rPr>
                <w:rFonts w:ascii="Times New Roman" w:eastAsia="Calibri" w:hAnsi="Times New Roman" w:cs="Times New Roman"/>
                <w:sz w:val="24"/>
                <w:szCs w:val="24"/>
              </w:rPr>
            </w:pPr>
          </w:p>
        </w:tc>
        <w:tc>
          <w:tcPr>
            <w:tcW w:w="1486" w:type="pct"/>
          </w:tcPr>
          <w:p w14:paraId="47E91A08" w14:textId="77777777" w:rsidR="004D1A9F" w:rsidRPr="00BE51EF" w:rsidRDefault="004D1A9F" w:rsidP="00D73FB9">
            <w:pPr>
              <w:jc w:val="both"/>
              <w:rPr>
                <w:rFonts w:ascii="Times New Roman" w:eastAsia="Calibri" w:hAnsi="Times New Roman" w:cs="Times New Roman"/>
                <w:sz w:val="24"/>
                <w:szCs w:val="24"/>
              </w:rPr>
            </w:pPr>
          </w:p>
        </w:tc>
        <w:tc>
          <w:tcPr>
            <w:tcW w:w="855" w:type="pct"/>
          </w:tcPr>
          <w:p w14:paraId="54988051" w14:textId="77777777" w:rsidR="004D1A9F" w:rsidRPr="00BE51EF" w:rsidRDefault="004D1A9F" w:rsidP="00D73FB9">
            <w:pPr>
              <w:jc w:val="both"/>
              <w:rPr>
                <w:rFonts w:ascii="Times New Roman" w:hAnsi="Times New Roman" w:cs="Times New Roman"/>
                <w:b/>
                <w:sz w:val="24"/>
                <w:szCs w:val="24"/>
              </w:rPr>
            </w:pPr>
            <w:r w:rsidRPr="00BE51EF">
              <w:rPr>
                <w:rFonts w:ascii="Times New Roman" w:hAnsi="Times New Roman" w:cs="Times New Roman"/>
                <w:b/>
                <w:sz w:val="24"/>
                <w:szCs w:val="24"/>
              </w:rPr>
              <w:t>Ukupna potraživanja prema NSK</w:t>
            </w:r>
          </w:p>
        </w:tc>
        <w:tc>
          <w:tcPr>
            <w:tcW w:w="543" w:type="pct"/>
          </w:tcPr>
          <w:p w14:paraId="797F9457" w14:textId="77777777" w:rsidR="004D1A9F" w:rsidRPr="00BE51EF" w:rsidRDefault="004D1A9F" w:rsidP="00D73FB9">
            <w:pPr>
              <w:jc w:val="both"/>
              <w:rPr>
                <w:rFonts w:ascii="Times New Roman" w:eastAsia="Calibri" w:hAnsi="Times New Roman" w:cs="Times New Roman"/>
                <w:b/>
                <w:sz w:val="24"/>
                <w:szCs w:val="24"/>
              </w:rPr>
            </w:pPr>
            <w:r w:rsidRPr="00BE51EF">
              <w:rPr>
                <w:rFonts w:ascii="Times New Roman" w:eastAsia="Calibri" w:hAnsi="Times New Roman" w:cs="Times New Roman"/>
                <w:b/>
                <w:sz w:val="24"/>
                <w:szCs w:val="24"/>
              </w:rPr>
              <w:t>19.191,82 EUR</w:t>
            </w:r>
          </w:p>
          <w:p w14:paraId="2E6AC38B" w14:textId="77777777" w:rsidR="004D1A9F" w:rsidRPr="00BE51EF" w:rsidRDefault="004D1A9F" w:rsidP="00D73FB9">
            <w:pPr>
              <w:jc w:val="both"/>
              <w:rPr>
                <w:rFonts w:ascii="Times New Roman" w:eastAsia="Calibri" w:hAnsi="Times New Roman" w:cs="Times New Roman"/>
                <w:b/>
                <w:sz w:val="24"/>
                <w:szCs w:val="24"/>
              </w:rPr>
            </w:pPr>
          </w:p>
        </w:tc>
      </w:tr>
      <w:tr w:rsidR="004D1A9F" w:rsidRPr="00BE51EF" w14:paraId="777BFD38" w14:textId="77777777" w:rsidTr="00CF3541">
        <w:tc>
          <w:tcPr>
            <w:tcW w:w="1081" w:type="pct"/>
          </w:tcPr>
          <w:p w14:paraId="366A0C1F" w14:textId="77777777" w:rsidR="004D1A9F" w:rsidRPr="00BE51EF" w:rsidRDefault="004D1A9F" w:rsidP="00D73FB9">
            <w:pPr>
              <w:ind w:left="313" w:hanging="284"/>
              <w:contextualSpacing/>
              <w:jc w:val="both"/>
              <w:rPr>
                <w:rFonts w:ascii="Times New Roman" w:eastAsia="Calibri" w:hAnsi="Times New Roman" w:cs="Times New Roman"/>
                <w:sz w:val="24"/>
                <w:szCs w:val="24"/>
              </w:rPr>
            </w:pPr>
          </w:p>
        </w:tc>
        <w:tc>
          <w:tcPr>
            <w:tcW w:w="1035" w:type="pct"/>
          </w:tcPr>
          <w:p w14:paraId="1D5FE0A6" w14:textId="77777777" w:rsidR="004D1A9F" w:rsidRPr="00BE51EF" w:rsidRDefault="004D1A9F" w:rsidP="00D73FB9">
            <w:pPr>
              <w:jc w:val="both"/>
              <w:rPr>
                <w:rFonts w:ascii="Times New Roman" w:eastAsia="Calibri" w:hAnsi="Times New Roman" w:cs="Times New Roman"/>
                <w:sz w:val="24"/>
                <w:szCs w:val="24"/>
              </w:rPr>
            </w:pPr>
          </w:p>
        </w:tc>
        <w:tc>
          <w:tcPr>
            <w:tcW w:w="1486" w:type="pct"/>
          </w:tcPr>
          <w:p w14:paraId="0239FC8D" w14:textId="77777777" w:rsidR="004D1A9F" w:rsidRPr="00BE51EF" w:rsidRDefault="004D1A9F" w:rsidP="00D73FB9">
            <w:pPr>
              <w:jc w:val="both"/>
              <w:rPr>
                <w:rFonts w:ascii="Times New Roman" w:eastAsia="Calibri" w:hAnsi="Times New Roman" w:cs="Times New Roman"/>
                <w:sz w:val="24"/>
                <w:szCs w:val="24"/>
              </w:rPr>
            </w:pPr>
          </w:p>
        </w:tc>
        <w:tc>
          <w:tcPr>
            <w:tcW w:w="855" w:type="pct"/>
          </w:tcPr>
          <w:p w14:paraId="059A6233" w14:textId="77777777" w:rsidR="004D1A9F" w:rsidRPr="00BE51EF" w:rsidRDefault="004D1A9F" w:rsidP="00D73FB9">
            <w:pPr>
              <w:jc w:val="both"/>
              <w:rPr>
                <w:rFonts w:ascii="Times New Roman" w:hAnsi="Times New Roman" w:cs="Times New Roman"/>
                <w:b/>
                <w:sz w:val="24"/>
                <w:szCs w:val="24"/>
              </w:rPr>
            </w:pPr>
            <w:r w:rsidRPr="00BE51EF">
              <w:rPr>
                <w:rFonts w:ascii="Times New Roman" w:hAnsi="Times New Roman" w:cs="Times New Roman"/>
                <w:b/>
                <w:sz w:val="24"/>
                <w:szCs w:val="24"/>
              </w:rPr>
              <w:t>Ukupno potraživanje NSK</w:t>
            </w:r>
          </w:p>
        </w:tc>
        <w:tc>
          <w:tcPr>
            <w:tcW w:w="543" w:type="pct"/>
          </w:tcPr>
          <w:p w14:paraId="0EB6021E" w14:textId="77777777" w:rsidR="004D1A9F" w:rsidRPr="00BE51EF" w:rsidRDefault="004D1A9F" w:rsidP="00D73FB9">
            <w:pPr>
              <w:jc w:val="both"/>
              <w:rPr>
                <w:rFonts w:ascii="Times New Roman" w:eastAsia="Calibri" w:hAnsi="Times New Roman" w:cs="Times New Roman"/>
                <w:b/>
                <w:sz w:val="24"/>
                <w:szCs w:val="24"/>
              </w:rPr>
            </w:pPr>
            <w:r w:rsidRPr="00BE51EF">
              <w:rPr>
                <w:rFonts w:ascii="Times New Roman" w:eastAsia="Calibri" w:hAnsi="Times New Roman" w:cs="Times New Roman"/>
                <w:b/>
                <w:sz w:val="24"/>
                <w:szCs w:val="24"/>
              </w:rPr>
              <w:t>42.493,95 EUR</w:t>
            </w:r>
          </w:p>
        </w:tc>
      </w:tr>
    </w:tbl>
    <w:p w14:paraId="6AAE5779" w14:textId="77777777" w:rsidR="00187DEB" w:rsidRPr="00BE51EF" w:rsidRDefault="00187DEB" w:rsidP="00187DEB">
      <w:pPr>
        <w:rPr>
          <w:rFonts w:eastAsia="Calibri" w:cs="Times New Roman"/>
          <w:sz w:val="24"/>
          <w:szCs w:val="24"/>
        </w:rPr>
      </w:pPr>
    </w:p>
    <w:p w14:paraId="3D5EA46F" w14:textId="77777777" w:rsidR="00187DEB" w:rsidRPr="00187DEB" w:rsidRDefault="00187DEB" w:rsidP="00187DEB">
      <w:pPr>
        <w:rPr>
          <w:rFonts w:eastAsia="Calibri" w:cs="Times New Roman"/>
        </w:rPr>
      </w:pPr>
    </w:p>
    <w:sectPr w:rsidR="00187DEB" w:rsidRPr="00187DEB" w:rsidSect="00A83486">
      <w:pgSz w:w="16838" w:h="11906" w:orient="landscape" w:code="9"/>
      <w:pgMar w:top="1418" w:right="1276"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6E7B" w14:textId="77777777" w:rsidR="004C5BE5" w:rsidRPr="005E3DE1" w:rsidRDefault="004C5BE5" w:rsidP="005E3DE1">
      <w:r>
        <w:separator/>
      </w:r>
    </w:p>
  </w:endnote>
  <w:endnote w:type="continuationSeparator" w:id="0">
    <w:p w14:paraId="11215CE9" w14:textId="77777777" w:rsidR="004C5BE5" w:rsidRPr="005E3DE1" w:rsidRDefault="004C5BE5" w:rsidP="005E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30055"/>
      <w:docPartObj>
        <w:docPartGallery w:val="Page Numbers (Bottom of Page)"/>
        <w:docPartUnique/>
      </w:docPartObj>
    </w:sdtPr>
    <w:sdtEndPr/>
    <w:sdtContent>
      <w:sdt>
        <w:sdtPr>
          <w:id w:val="1230806211"/>
          <w:docPartObj>
            <w:docPartGallery w:val="Page Numbers (Top of Page)"/>
            <w:docPartUnique/>
          </w:docPartObj>
        </w:sdtPr>
        <w:sdtEndPr/>
        <w:sdtContent>
          <w:p w14:paraId="468A2671" w14:textId="77777777" w:rsidR="00AA2ED8" w:rsidRDefault="00AA2ED8">
            <w:pPr>
              <w:pStyle w:val="Podnoje"/>
              <w:jc w:val="right"/>
            </w:pPr>
            <w:r w:rsidRPr="00AA2ED8">
              <w:rPr>
                <w:bCs/>
              </w:rPr>
              <w:fldChar w:fldCharType="begin"/>
            </w:r>
            <w:r w:rsidRPr="00AA2ED8">
              <w:rPr>
                <w:bCs/>
              </w:rPr>
              <w:instrText>PAGE</w:instrText>
            </w:r>
            <w:r w:rsidRPr="00AA2ED8">
              <w:rPr>
                <w:bCs/>
              </w:rPr>
              <w:fldChar w:fldCharType="separate"/>
            </w:r>
            <w:r w:rsidR="00657DC4">
              <w:rPr>
                <w:bCs/>
                <w:noProof/>
              </w:rPr>
              <w:t>2</w:t>
            </w:r>
            <w:r w:rsidRPr="00AA2ED8">
              <w:rPr>
                <w:bCs/>
              </w:rPr>
              <w:fldChar w:fldCharType="end"/>
            </w:r>
            <w:r w:rsidRPr="00AA2ED8">
              <w:t xml:space="preserve"> / </w:t>
            </w:r>
            <w:r w:rsidRPr="00AA2ED8">
              <w:rPr>
                <w:bCs/>
              </w:rPr>
              <w:fldChar w:fldCharType="begin"/>
            </w:r>
            <w:r w:rsidRPr="00AA2ED8">
              <w:rPr>
                <w:bCs/>
              </w:rPr>
              <w:instrText>NUMPAGES</w:instrText>
            </w:r>
            <w:r w:rsidRPr="00AA2ED8">
              <w:rPr>
                <w:bCs/>
              </w:rPr>
              <w:fldChar w:fldCharType="separate"/>
            </w:r>
            <w:r w:rsidR="00657DC4">
              <w:rPr>
                <w:bCs/>
                <w:noProof/>
              </w:rPr>
              <w:t>2</w:t>
            </w:r>
            <w:r w:rsidRPr="00AA2ED8">
              <w:rPr>
                <w:bCs/>
              </w:rPr>
              <w:fldChar w:fldCharType="end"/>
            </w:r>
          </w:p>
        </w:sdtContent>
      </w:sdt>
    </w:sdtContent>
  </w:sdt>
  <w:p w14:paraId="3CF18894" w14:textId="77777777" w:rsidR="00F2591C" w:rsidRDefault="00F2591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838359"/>
      <w:docPartObj>
        <w:docPartGallery w:val="Page Numbers (Bottom of Page)"/>
        <w:docPartUnique/>
      </w:docPartObj>
    </w:sdtPr>
    <w:sdtEndPr/>
    <w:sdtContent>
      <w:sdt>
        <w:sdtPr>
          <w:id w:val="764498367"/>
          <w:docPartObj>
            <w:docPartGallery w:val="Page Numbers (Top of Page)"/>
            <w:docPartUnique/>
          </w:docPartObj>
        </w:sdtPr>
        <w:sdtEndPr/>
        <w:sdtContent>
          <w:p w14:paraId="51C58B5C" w14:textId="77777777" w:rsidR="002B79B2" w:rsidRDefault="002B79B2">
            <w:pPr>
              <w:pStyle w:val="Podnoje"/>
              <w:jc w:val="right"/>
            </w:pPr>
            <w:r w:rsidRPr="002B79B2">
              <w:rPr>
                <w:bCs/>
                <w:sz w:val="24"/>
                <w:szCs w:val="24"/>
              </w:rPr>
              <w:fldChar w:fldCharType="begin"/>
            </w:r>
            <w:r w:rsidRPr="002B79B2">
              <w:rPr>
                <w:bCs/>
              </w:rPr>
              <w:instrText>PAGE</w:instrText>
            </w:r>
            <w:r w:rsidRPr="002B79B2">
              <w:rPr>
                <w:bCs/>
                <w:sz w:val="24"/>
                <w:szCs w:val="24"/>
              </w:rPr>
              <w:fldChar w:fldCharType="separate"/>
            </w:r>
            <w:r w:rsidR="00657DC4">
              <w:rPr>
                <w:bCs/>
                <w:noProof/>
              </w:rPr>
              <w:t>1</w:t>
            </w:r>
            <w:r w:rsidRPr="002B79B2">
              <w:rPr>
                <w:bCs/>
                <w:sz w:val="24"/>
                <w:szCs w:val="24"/>
              </w:rPr>
              <w:fldChar w:fldCharType="end"/>
            </w:r>
            <w:r w:rsidRPr="002B79B2">
              <w:t xml:space="preserve"> / </w:t>
            </w:r>
            <w:r w:rsidRPr="002B79B2">
              <w:rPr>
                <w:bCs/>
                <w:sz w:val="24"/>
                <w:szCs w:val="24"/>
              </w:rPr>
              <w:fldChar w:fldCharType="begin"/>
            </w:r>
            <w:r w:rsidRPr="002B79B2">
              <w:rPr>
                <w:bCs/>
              </w:rPr>
              <w:instrText>NUMPAGES</w:instrText>
            </w:r>
            <w:r w:rsidRPr="002B79B2">
              <w:rPr>
                <w:bCs/>
                <w:sz w:val="24"/>
                <w:szCs w:val="24"/>
              </w:rPr>
              <w:fldChar w:fldCharType="separate"/>
            </w:r>
            <w:r w:rsidR="00657DC4">
              <w:rPr>
                <w:bCs/>
                <w:noProof/>
              </w:rPr>
              <w:t>1</w:t>
            </w:r>
            <w:r w:rsidRPr="002B79B2">
              <w:rPr>
                <w:bCs/>
                <w:sz w:val="24"/>
                <w:szCs w:val="24"/>
              </w:rPr>
              <w:fldChar w:fldCharType="end"/>
            </w:r>
          </w:p>
        </w:sdtContent>
      </w:sdt>
    </w:sdtContent>
  </w:sdt>
  <w:p w14:paraId="22802AF4" w14:textId="77777777" w:rsidR="00914A69" w:rsidRPr="00914A69" w:rsidRDefault="00914A69" w:rsidP="00914A69">
    <w:pPr>
      <w:pStyle w:val="Podnoje"/>
      <w:jc w:val="right"/>
    </w:pPr>
  </w:p>
  <w:p w14:paraId="29FCA703" w14:textId="77777777" w:rsidR="002E42A2" w:rsidRDefault="002E42A2" w:rsidP="00914A69">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D726" w14:textId="77777777" w:rsidR="004C5BE5" w:rsidRPr="005E3DE1" w:rsidRDefault="004C5BE5" w:rsidP="005E3DE1">
      <w:r>
        <w:separator/>
      </w:r>
    </w:p>
  </w:footnote>
  <w:footnote w:type="continuationSeparator" w:id="0">
    <w:p w14:paraId="5F157C45" w14:textId="77777777" w:rsidR="004C5BE5" w:rsidRPr="005E3DE1" w:rsidRDefault="004C5BE5" w:rsidP="005E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58C6" w14:textId="77777777" w:rsidR="002E42A2" w:rsidRDefault="002E42A2">
    <w:pPr>
      <w:pStyle w:val="Zaglavlje"/>
    </w:pPr>
    <w:r>
      <w:rPr>
        <w:noProof/>
        <w:lang w:eastAsia="hr-HR"/>
      </w:rPr>
      <w:drawing>
        <wp:anchor distT="0" distB="0" distL="114300" distR="114300" simplePos="0" relativeHeight="251659264" behindDoc="1" locked="0" layoutInCell="1" allowOverlap="1" wp14:anchorId="0B7AD334" wp14:editId="02053242">
          <wp:simplePos x="0" y="0"/>
          <wp:positionH relativeFrom="column">
            <wp:posOffset>-890905</wp:posOffset>
          </wp:positionH>
          <wp:positionV relativeFrom="paragraph">
            <wp:posOffset>-450215</wp:posOffset>
          </wp:positionV>
          <wp:extent cx="7543165" cy="1435735"/>
          <wp:effectExtent l="0" t="0" r="635" b="0"/>
          <wp:wrapThrough wrapText="bothSides">
            <wp:wrapPolygon edited="0">
              <wp:start x="0" y="0"/>
              <wp:lineTo x="0" y="21208"/>
              <wp:lineTo x="21547" y="21208"/>
              <wp:lineTo x="21547"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k memo zaglavlje1.jpg"/>
                  <pic:cNvPicPr/>
                </pic:nvPicPr>
                <pic:blipFill>
                  <a:blip r:embed="rId1">
                    <a:extLst>
                      <a:ext uri="{28A0092B-C50C-407E-A947-70E740481C1C}">
                        <a14:useLocalDpi xmlns:a14="http://schemas.microsoft.com/office/drawing/2010/main" val="0"/>
                      </a:ext>
                    </a:extLst>
                  </a:blip>
                  <a:stretch>
                    <a:fillRect/>
                  </a:stretch>
                </pic:blipFill>
                <pic:spPr>
                  <a:xfrm>
                    <a:off x="0" y="0"/>
                    <a:ext cx="7543165" cy="1435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A60A5B"/>
    <w:multiLevelType w:val="hybridMultilevel"/>
    <w:tmpl w:val="ADEA77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7F24E89"/>
    <w:multiLevelType w:val="hybridMultilevel"/>
    <w:tmpl w:val="7AB28960"/>
    <w:lvl w:ilvl="0" w:tplc="CE82E4A6">
      <w:numFmt w:val="bullet"/>
      <w:lvlText w:val="-"/>
      <w:lvlJc w:val="left"/>
      <w:pPr>
        <w:ind w:left="1636" w:hanging="360"/>
      </w:pPr>
      <w:rPr>
        <w:rFonts w:ascii="Times New Roman" w:eastAsia="Times New Roman" w:hAnsi="Times New Roman" w:cs="Times New Roman" w:hint="default"/>
        <w:i w:val="0"/>
      </w:rPr>
    </w:lvl>
    <w:lvl w:ilvl="1" w:tplc="041A0003">
      <w:start w:val="1"/>
      <w:numFmt w:val="bullet"/>
      <w:lvlText w:val="o"/>
      <w:lvlJc w:val="left"/>
      <w:pPr>
        <w:ind w:left="2356" w:hanging="360"/>
      </w:pPr>
      <w:rPr>
        <w:rFonts w:ascii="Courier New" w:hAnsi="Courier New" w:cs="Courier New" w:hint="default"/>
      </w:rPr>
    </w:lvl>
    <w:lvl w:ilvl="2" w:tplc="041A0005">
      <w:start w:val="1"/>
      <w:numFmt w:val="bullet"/>
      <w:lvlText w:val=""/>
      <w:lvlJc w:val="left"/>
      <w:pPr>
        <w:ind w:left="3076" w:hanging="360"/>
      </w:pPr>
      <w:rPr>
        <w:rFonts w:ascii="Wingdings" w:hAnsi="Wingdings" w:hint="default"/>
      </w:rPr>
    </w:lvl>
    <w:lvl w:ilvl="3" w:tplc="041A0001">
      <w:start w:val="1"/>
      <w:numFmt w:val="bullet"/>
      <w:lvlText w:val=""/>
      <w:lvlJc w:val="left"/>
      <w:pPr>
        <w:ind w:left="3796" w:hanging="360"/>
      </w:pPr>
      <w:rPr>
        <w:rFonts w:ascii="Symbol" w:hAnsi="Symbol" w:hint="default"/>
      </w:rPr>
    </w:lvl>
    <w:lvl w:ilvl="4" w:tplc="041A0003">
      <w:start w:val="1"/>
      <w:numFmt w:val="bullet"/>
      <w:lvlText w:val="o"/>
      <w:lvlJc w:val="left"/>
      <w:pPr>
        <w:ind w:left="4516" w:hanging="360"/>
      </w:pPr>
      <w:rPr>
        <w:rFonts w:ascii="Courier New" w:hAnsi="Courier New" w:cs="Courier New" w:hint="default"/>
      </w:rPr>
    </w:lvl>
    <w:lvl w:ilvl="5" w:tplc="041A0005">
      <w:start w:val="1"/>
      <w:numFmt w:val="bullet"/>
      <w:lvlText w:val=""/>
      <w:lvlJc w:val="left"/>
      <w:pPr>
        <w:ind w:left="5236" w:hanging="360"/>
      </w:pPr>
      <w:rPr>
        <w:rFonts w:ascii="Wingdings" w:hAnsi="Wingdings" w:hint="default"/>
      </w:rPr>
    </w:lvl>
    <w:lvl w:ilvl="6" w:tplc="041A0001">
      <w:start w:val="1"/>
      <w:numFmt w:val="bullet"/>
      <w:lvlText w:val=""/>
      <w:lvlJc w:val="left"/>
      <w:pPr>
        <w:ind w:left="5956" w:hanging="360"/>
      </w:pPr>
      <w:rPr>
        <w:rFonts w:ascii="Symbol" w:hAnsi="Symbol" w:hint="default"/>
      </w:rPr>
    </w:lvl>
    <w:lvl w:ilvl="7" w:tplc="041A0003">
      <w:start w:val="1"/>
      <w:numFmt w:val="bullet"/>
      <w:lvlText w:val="o"/>
      <w:lvlJc w:val="left"/>
      <w:pPr>
        <w:ind w:left="6676" w:hanging="360"/>
      </w:pPr>
      <w:rPr>
        <w:rFonts w:ascii="Courier New" w:hAnsi="Courier New" w:cs="Courier New" w:hint="default"/>
      </w:rPr>
    </w:lvl>
    <w:lvl w:ilvl="8" w:tplc="041A0005">
      <w:start w:val="1"/>
      <w:numFmt w:val="bullet"/>
      <w:lvlText w:val=""/>
      <w:lvlJc w:val="left"/>
      <w:pPr>
        <w:ind w:left="7396" w:hanging="360"/>
      </w:pPr>
      <w:rPr>
        <w:rFonts w:ascii="Wingdings" w:hAnsi="Wingdings" w:hint="default"/>
      </w:rPr>
    </w:lvl>
  </w:abstractNum>
  <w:abstractNum w:abstractNumId="3" w15:restartNumberingAfterBreak="0">
    <w:nsid w:val="4513395D"/>
    <w:multiLevelType w:val="hybridMultilevel"/>
    <w:tmpl w:val="01CE8090"/>
    <w:lvl w:ilvl="0" w:tplc="B1D6FC40">
      <w:start w:val="1"/>
      <w:numFmt w:val="decimal"/>
      <w:lvlText w:val="%1."/>
      <w:lvlJc w:val="left"/>
      <w:pPr>
        <w:ind w:left="720" w:hanging="360"/>
      </w:pPr>
      <w:rPr>
        <w:rFonts w:ascii="Times New Roman" w:eastAsia="Times New Roman" w:hAnsi="Times New Roman" w:cs="Times New Roman" w:hint="default"/>
        <w:color w:val="auto"/>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379567F"/>
    <w:multiLevelType w:val="hybridMultilevel"/>
    <w:tmpl w:val="B44C3554"/>
    <w:lvl w:ilvl="0" w:tplc="6A327CC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A4E0DED"/>
    <w:multiLevelType w:val="hybridMultilevel"/>
    <w:tmpl w:val="1422BC5C"/>
    <w:lvl w:ilvl="0" w:tplc="70249E90">
      <w:numFmt w:val="bullet"/>
      <w:lvlText w:val="-"/>
      <w:lvlJc w:val="left"/>
      <w:pPr>
        <w:tabs>
          <w:tab w:val="num" w:pos="720"/>
        </w:tabs>
        <w:ind w:left="720" w:hanging="360"/>
      </w:pPr>
      <w:rPr>
        <w:rFonts w:ascii="Times New Roman" w:eastAsia="Times New Roman" w:hAnsi="Times New Roman" w:cs="Times New Roman" w:hint="default"/>
        <w:b/>
        <w:i w:val="0"/>
      </w:rPr>
    </w:lvl>
    <w:lvl w:ilvl="1" w:tplc="041A0003" w:tentative="1">
      <w:start w:val="1"/>
      <w:numFmt w:val="bullet"/>
      <w:pStyle w:val="Naslov2"/>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E57AB"/>
    <w:multiLevelType w:val="hybridMultilevel"/>
    <w:tmpl w:val="CE22A9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848212285">
    <w:abstractNumId w:val="3"/>
    <w:lvlOverride w:ilvl="0">
      <w:startOverride w:val="1"/>
    </w:lvlOverride>
    <w:lvlOverride w:ilvl="1"/>
    <w:lvlOverride w:ilvl="2"/>
    <w:lvlOverride w:ilvl="3"/>
    <w:lvlOverride w:ilvl="4"/>
    <w:lvlOverride w:ilvl="5"/>
    <w:lvlOverride w:ilvl="6"/>
    <w:lvlOverride w:ilvl="7"/>
    <w:lvlOverride w:ilvl="8"/>
  </w:num>
  <w:num w:numId="2" w16cid:durableId="1548564465">
    <w:abstractNumId w:val="5"/>
  </w:num>
  <w:num w:numId="3" w16cid:durableId="287123407">
    <w:abstractNumId w:val="0"/>
  </w:num>
  <w:num w:numId="4" w16cid:durableId="659239348">
    <w:abstractNumId w:val="2"/>
  </w:num>
  <w:num w:numId="5" w16cid:durableId="2130779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276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912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QFSet/>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E1"/>
    <w:rsid w:val="00002E1D"/>
    <w:rsid w:val="00011976"/>
    <w:rsid w:val="00056148"/>
    <w:rsid w:val="00083BBF"/>
    <w:rsid w:val="000A58AD"/>
    <w:rsid w:val="000C2855"/>
    <w:rsid w:val="00141C5A"/>
    <w:rsid w:val="001511FF"/>
    <w:rsid w:val="00152068"/>
    <w:rsid w:val="00187DEB"/>
    <w:rsid w:val="00213A92"/>
    <w:rsid w:val="00226A7E"/>
    <w:rsid w:val="0023569B"/>
    <w:rsid w:val="00264945"/>
    <w:rsid w:val="00280BBE"/>
    <w:rsid w:val="002B497A"/>
    <w:rsid w:val="002B79B2"/>
    <w:rsid w:val="002E42A2"/>
    <w:rsid w:val="002F7E0C"/>
    <w:rsid w:val="00307C25"/>
    <w:rsid w:val="00346792"/>
    <w:rsid w:val="00350D97"/>
    <w:rsid w:val="00391A19"/>
    <w:rsid w:val="00397644"/>
    <w:rsid w:val="004022EB"/>
    <w:rsid w:val="0041716F"/>
    <w:rsid w:val="004703E5"/>
    <w:rsid w:val="00495E1F"/>
    <w:rsid w:val="004A0B2F"/>
    <w:rsid w:val="004C2BA6"/>
    <w:rsid w:val="004C5BE5"/>
    <w:rsid w:val="004D02FC"/>
    <w:rsid w:val="004D0790"/>
    <w:rsid w:val="004D1A9F"/>
    <w:rsid w:val="004E2D0D"/>
    <w:rsid w:val="005136FF"/>
    <w:rsid w:val="00573C1A"/>
    <w:rsid w:val="005E3DE1"/>
    <w:rsid w:val="006558AC"/>
    <w:rsid w:val="00657DC4"/>
    <w:rsid w:val="00681B6A"/>
    <w:rsid w:val="006D052F"/>
    <w:rsid w:val="006F30F1"/>
    <w:rsid w:val="007771DC"/>
    <w:rsid w:val="007773C8"/>
    <w:rsid w:val="007C341D"/>
    <w:rsid w:val="0080421E"/>
    <w:rsid w:val="00854A28"/>
    <w:rsid w:val="00855F87"/>
    <w:rsid w:val="00870AA4"/>
    <w:rsid w:val="008814FA"/>
    <w:rsid w:val="00882896"/>
    <w:rsid w:val="008937A7"/>
    <w:rsid w:val="008A0C69"/>
    <w:rsid w:val="008A0F80"/>
    <w:rsid w:val="008B2103"/>
    <w:rsid w:val="008C22FC"/>
    <w:rsid w:val="00910E20"/>
    <w:rsid w:val="00914A69"/>
    <w:rsid w:val="00915D2B"/>
    <w:rsid w:val="00950FA9"/>
    <w:rsid w:val="0098036D"/>
    <w:rsid w:val="0099604C"/>
    <w:rsid w:val="009D077F"/>
    <w:rsid w:val="009E47F1"/>
    <w:rsid w:val="00A00387"/>
    <w:rsid w:val="00A043ED"/>
    <w:rsid w:val="00A5788C"/>
    <w:rsid w:val="00A6563C"/>
    <w:rsid w:val="00A83486"/>
    <w:rsid w:val="00AA2ED8"/>
    <w:rsid w:val="00AB517D"/>
    <w:rsid w:val="00AD7C2D"/>
    <w:rsid w:val="00B00BE0"/>
    <w:rsid w:val="00B07445"/>
    <w:rsid w:val="00B11BAA"/>
    <w:rsid w:val="00B1747F"/>
    <w:rsid w:val="00B957E4"/>
    <w:rsid w:val="00BA45CE"/>
    <w:rsid w:val="00BC5A3F"/>
    <w:rsid w:val="00BD57D1"/>
    <w:rsid w:val="00BE51EF"/>
    <w:rsid w:val="00BF16C6"/>
    <w:rsid w:val="00C03532"/>
    <w:rsid w:val="00C3264F"/>
    <w:rsid w:val="00C61F44"/>
    <w:rsid w:val="00C702AE"/>
    <w:rsid w:val="00C86956"/>
    <w:rsid w:val="00CA70AE"/>
    <w:rsid w:val="00CC5ABE"/>
    <w:rsid w:val="00CF3541"/>
    <w:rsid w:val="00D22026"/>
    <w:rsid w:val="00D272BA"/>
    <w:rsid w:val="00DA0A80"/>
    <w:rsid w:val="00DB4474"/>
    <w:rsid w:val="00DC5CB4"/>
    <w:rsid w:val="00DD70B7"/>
    <w:rsid w:val="00DF5C42"/>
    <w:rsid w:val="00E00F96"/>
    <w:rsid w:val="00E07716"/>
    <w:rsid w:val="00E35A1E"/>
    <w:rsid w:val="00E41FC4"/>
    <w:rsid w:val="00E4488A"/>
    <w:rsid w:val="00E85760"/>
    <w:rsid w:val="00E9674B"/>
    <w:rsid w:val="00EA55C0"/>
    <w:rsid w:val="00EB5EE0"/>
    <w:rsid w:val="00F2591C"/>
    <w:rsid w:val="00F31E10"/>
    <w:rsid w:val="00F56BE2"/>
    <w:rsid w:val="00F900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E66EE1"/>
  <w15:docId w15:val="{1832A36F-16FF-4A5F-A040-853D4FE6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0A58AD"/>
    <w:pPr>
      <w:keepNext/>
      <w:numPr>
        <w:ilvl w:val="1"/>
        <w:numId w:val="2"/>
      </w:numPr>
      <w:suppressAutoHyphens/>
      <w:outlineLvl w:val="1"/>
    </w:pPr>
    <w:rPr>
      <w:rFonts w:ascii="Tahoma" w:eastAsia="Times New Roman" w:hAnsi="Tahoma" w:cs="Times New Roman"/>
      <w:b/>
      <w:sz w:val="20"/>
      <w:szCs w:val="20"/>
      <w:lang w:val="en-AU"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E3DE1"/>
    <w:pPr>
      <w:tabs>
        <w:tab w:val="center" w:pos="4536"/>
        <w:tab w:val="right" w:pos="9072"/>
      </w:tabs>
    </w:pPr>
  </w:style>
  <w:style w:type="character" w:customStyle="1" w:styleId="ZaglavljeChar">
    <w:name w:val="Zaglavlje Char"/>
    <w:basedOn w:val="Zadanifontodlomka"/>
    <w:link w:val="Zaglavlje"/>
    <w:uiPriority w:val="99"/>
    <w:rsid w:val="005E3DE1"/>
  </w:style>
  <w:style w:type="paragraph" w:styleId="Podnoje">
    <w:name w:val="footer"/>
    <w:basedOn w:val="Normal"/>
    <w:link w:val="PodnojeChar"/>
    <w:uiPriority w:val="99"/>
    <w:unhideWhenUsed/>
    <w:rsid w:val="005E3DE1"/>
    <w:pPr>
      <w:tabs>
        <w:tab w:val="center" w:pos="4536"/>
        <w:tab w:val="right" w:pos="9072"/>
      </w:tabs>
    </w:pPr>
  </w:style>
  <w:style w:type="character" w:customStyle="1" w:styleId="PodnojeChar">
    <w:name w:val="Podnožje Char"/>
    <w:basedOn w:val="Zadanifontodlomka"/>
    <w:link w:val="Podnoje"/>
    <w:uiPriority w:val="99"/>
    <w:rsid w:val="005E3DE1"/>
  </w:style>
  <w:style w:type="paragraph" w:styleId="Tekstbalonia">
    <w:name w:val="Balloon Text"/>
    <w:basedOn w:val="Normal"/>
    <w:link w:val="TekstbaloniaChar"/>
    <w:uiPriority w:val="99"/>
    <w:semiHidden/>
    <w:unhideWhenUsed/>
    <w:rsid w:val="005E3DE1"/>
    <w:rPr>
      <w:rFonts w:ascii="Tahoma" w:hAnsi="Tahoma" w:cs="Tahoma"/>
      <w:sz w:val="16"/>
      <w:szCs w:val="16"/>
    </w:rPr>
  </w:style>
  <w:style w:type="character" w:customStyle="1" w:styleId="TekstbaloniaChar">
    <w:name w:val="Tekst balončića Char"/>
    <w:basedOn w:val="Zadanifontodlomka"/>
    <w:link w:val="Tekstbalonia"/>
    <w:uiPriority w:val="99"/>
    <w:semiHidden/>
    <w:rsid w:val="005E3DE1"/>
    <w:rPr>
      <w:rFonts w:ascii="Tahoma" w:hAnsi="Tahoma" w:cs="Tahoma"/>
      <w:sz w:val="16"/>
      <w:szCs w:val="16"/>
    </w:rPr>
  </w:style>
  <w:style w:type="paragraph" w:styleId="Obinitekst">
    <w:name w:val="Plain Text"/>
    <w:basedOn w:val="Normal"/>
    <w:link w:val="ObinitekstChar"/>
    <w:uiPriority w:val="99"/>
    <w:semiHidden/>
    <w:unhideWhenUsed/>
    <w:rsid w:val="004022EB"/>
    <w:rPr>
      <w:rFonts w:ascii="Calibri" w:eastAsia="Calibri" w:hAnsi="Calibri" w:cs="Times New Roman"/>
    </w:rPr>
  </w:style>
  <w:style w:type="character" w:customStyle="1" w:styleId="ObinitekstChar">
    <w:name w:val="Obični tekst Char"/>
    <w:basedOn w:val="Zadanifontodlomka"/>
    <w:link w:val="Obinitekst"/>
    <w:uiPriority w:val="99"/>
    <w:semiHidden/>
    <w:rsid w:val="004022EB"/>
    <w:rPr>
      <w:rFonts w:ascii="Calibri" w:eastAsia="Calibri" w:hAnsi="Calibri" w:cs="Times New Roman"/>
    </w:rPr>
  </w:style>
  <w:style w:type="paragraph" w:styleId="Odlomakpopisa">
    <w:name w:val="List Paragraph"/>
    <w:basedOn w:val="Normal"/>
    <w:uiPriority w:val="34"/>
    <w:qFormat/>
    <w:rsid w:val="00A6563C"/>
    <w:pPr>
      <w:ind w:left="720"/>
      <w:contextualSpacing/>
    </w:pPr>
    <w:rPr>
      <w:rFonts w:eastAsia="Times New Roman" w:cs="Times New Roman"/>
      <w:sz w:val="24"/>
      <w:szCs w:val="20"/>
      <w:lang w:val="en-AU" w:eastAsia="hr-HR"/>
    </w:rPr>
  </w:style>
  <w:style w:type="paragraph" w:styleId="Revizija">
    <w:name w:val="Revision"/>
    <w:hidden/>
    <w:uiPriority w:val="99"/>
    <w:semiHidden/>
    <w:rsid w:val="00152068"/>
  </w:style>
  <w:style w:type="character" w:customStyle="1" w:styleId="Naslov2Char">
    <w:name w:val="Naslov 2 Char"/>
    <w:basedOn w:val="Zadanifontodlomka"/>
    <w:link w:val="Naslov2"/>
    <w:rsid w:val="000A58AD"/>
    <w:rPr>
      <w:rFonts w:ascii="Tahoma" w:eastAsia="Times New Roman" w:hAnsi="Tahoma" w:cs="Times New Roman"/>
      <w:b/>
      <w:sz w:val="20"/>
      <w:szCs w:val="20"/>
      <w:lang w:val="en-AU" w:eastAsia="ar-SA"/>
    </w:rPr>
  </w:style>
  <w:style w:type="character" w:customStyle="1" w:styleId="FontStyle19">
    <w:name w:val="Font Style19"/>
    <w:basedOn w:val="Zadanifontodlomka"/>
    <w:rsid w:val="000A58AD"/>
    <w:rPr>
      <w:rFonts w:ascii="Microsoft Sans Serif" w:hAnsi="Microsoft Sans Serif" w:cs="Microsoft Sans Serif"/>
      <w:sz w:val="18"/>
      <w:szCs w:val="18"/>
    </w:rPr>
  </w:style>
  <w:style w:type="table" w:styleId="Reetkatablice">
    <w:name w:val="Table Grid"/>
    <w:basedOn w:val="Obinatablica"/>
    <w:uiPriority w:val="39"/>
    <w:rsid w:val="00A8348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7075">
      <w:bodyDiv w:val="1"/>
      <w:marLeft w:val="0"/>
      <w:marRight w:val="0"/>
      <w:marTop w:val="0"/>
      <w:marBottom w:val="0"/>
      <w:divBdr>
        <w:top w:val="none" w:sz="0" w:space="0" w:color="auto"/>
        <w:left w:val="none" w:sz="0" w:space="0" w:color="auto"/>
        <w:bottom w:val="none" w:sz="0" w:space="0" w:color="auto"/>
        <w:right w:val="none" w:sz="0" w:space="0" w:color="auto"/>
      </w:divBdr>
    </w:div>
    <w:div w:id="365833245">
      <w:bodyDiv w:val="1"/>
      <w:marLeft w:val="0"/>
      <w:marRight w:val="0"/>
      <w:marTop w:val="0"/>
      <w:marBottom w:val="0"/>
      <w:divBdr>
        <w:top w:val="none" w:sz="0" w:space="0" w:color="auto"/>
        <w:left w:val="none" w:sz="0" w:space="0" w:color="auto"/>
        <w:bottom w:val="none" w:sz="0" w:space="0" w:color="auto"/>
        <w:right w:val="none" w:sz="0" w:space="0" w:color="auto"/>
      </w:divBdr>
    </w:div>
    <w:div w:id="9820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262D-7E05-4880-99BA-5B2D01F9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685</Words>
  <Characters>3905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Nacionalna i sveučilišna knjižnica u Zagrebu</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Hasanec</dc:creator>
  <cp:lastModifiedBy>Tatjana Marincel Borković</cp:lastModifiedBy>
  <cp:revision>3</cp:revision>
  <cp:lastPrinted>2026-03-09T09:33:00Z</cp:lastPrinted>
  <dcterms:created xsi:type="dcterms:W3CDTF">2026-03-16T07:46:00Z</dcterms:created>
  <dcterms:modified xsi:type="dcterms:W3CDTF">2026-03-16T07:57:00Z</dcterms:modified>
</cp:coreProperties>
</file>