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7C" w:rsidRPr="005C7A26" w:rsidRDefault="00C3557C" w:rsidP="00C3557C">
      <w:pPr>
        <w:rPr>
          <w:lang w:val="en-US"/>
        </w:rPr>
      </w:pPr>
      <w:r w:rsidRPr="005C7A26">
        <w:rPr>
          <w:lang w:val="en-US"/>
        </w:rPr>
        <w:t>KLASA: 470-01/25-01/01</w:t>
      </w:r>
    </w:p>
    <w:p w:rsidR="00C3557C" w:rsidRDefault="00C3557C" w:rsidP="00C3557C">
      <w:r w:rsidRPr="005C7A26">
        <w:rPr>
          <w:lang w:val="en-US"/>
        </w:rPr>
        <w:t>URBROJ: 474-13-03-1</w:t>
      </w:r>
    </w:p>
    <w:p w:rsidR="00C3557C" w:rsidRDefault="00C3557C" w:rsidP="00C3557C">
      <w:r>
        <w:t xml:space="preserve">Zagreb, 30. siječnja 2025. </w:t>
      </w:r>
    </w:p>
    <w:p w:rsidR="00C3557C" w:rsidRDefault="00C3557C" w:rsidP="00C3557C"/>
    <w:p w:rsidR="00C3557C" w:rsidRDefault="00C3557C" w:rsidP="00C3557C"/>
    <w:p w:rsidR="00C3557C" w:rsidRDefault="00C3557C" w:rsidP="00C3557C">
      <w:pPr>
        <w:jc w:val="center"/>
        <w:rPr>
          <w:b/>
          <w:sz w:val="28"/>
          <w:szCs w:val="28"/>
        </w:rPr>
      </w:pPr>
      <w:r w:rsidRPr="003313EA">
        <w:rPr>
          <w:b/>
          <w:sz w:val="28"/>
          <w:szCs w:val="28"/>
        </w:rPr>
        <w:t>BILJEŠKE UZ FINANCIJSKE IZVJEŠTAJE</w:t>
      </w:r>
    </w:p>
    <w:p w:rsidR="00C3557C" w:rsidRDefault="00C3557C" w:rsidP="00C3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Izvještajno razdoblje 1. siječnja do 31. prosinca 2024. godine</w:t>
      </w:r>
    </w:p>
    <w:p w:rsidR="00C3557C" w:rsidRDefault="00C3557C" w:rsidP="00C3557C"/>
    <w:p w:rsidR="00C3557C" w:rsidRDefault="00C3557C" w:rsidP="00C3557C"/>
    <w:p w:rsidR="00C3557C" w:rsidRDefault="00C3557C" w:rsidP="00C3557C">
      <w:pPr>
        <w:jc w:val="both"/>
      </w:pPr>
      <w:r>
        <w:t>Naziv proračunskog korisnika: Nacionalna i sveučilišna knjižnica u Zagrebu (NSK)</w:t>
      </w:r>
    </w:p>
    <w:p w:rsidR="00C3557C" w:rsidRDefault="00C3557C" w:rsidP="00C3557C">
      <w:pPr>
        <w:jc w:val="both"/>
      </w:pPr>
      <w:r>
        <w:t>Adresa: Zagreb, Hrvatske bratske zajednice 4</w:t>
      </w:r>
    </w:p>
    <w:p w:rsidR="00C3557C" w:rsidRDefault="00C3557C" w:rsidP="00C3557C">
      <w:pPr>
        <w:jc w:val="both"/>
      </w:pPr>
      <w:r>
        <w:t>OIB: 84838770814</w:t>
      </w:r>
    </w:p>
    <w:p w:rsidR="00C3557C" w:rsidRDefault="00C3557C" w:rsidP="00C3557C">
      <w:pPr>
        <w:jc w:val="both"/>
      </w:pPr>
      <w:r>
        <w:t>RKP broj: 21836</w:t>
      </w:r>
    </w:p>
    <w:p w:rsidR="00C3557C" w:rsidRDefault="00C3557C" w:rsidP="00C3557C">
      <w:pPr>
        <w:jc w:val="both"/>
      </w:pPr>
      <w:r>
        <w:t>IBAN broj: HR66234 0009 11 000 1000 81</w:t>
      </w:r>
    </w:p>
    <w:p w:rsidR="00C3557C" w:rsidRDefault="00C3557C" w:rsidP="00C3557C">
      <w:pPr>
        <w:jc w:val="both"/>
      </w:pPr>
      <w:r>
        <w:t>Šifra djelatnosti: 9101</w:t>
      </w:r>
    </w:p>
    <w:p w:rsidR="00C3557C" w:rsidRDefault="00C3557C" w:rsidP="00C3557C">
      <w:pPr>
        <w:jc w:val="both"/>
      </w:pPr>
      <w:r>
        <w:t xml:space="preserve">Odgovorna osoba: prof. dr. </w:t>
      </w:r>
      <w:proofErr w:type="spellStart"/>
      <w:r>
        <w:t>sc</w:t>
      </w:r>
      <w:proofErr w:type="spellEnd"/>
      <w:r>
        <w:t>. Ivanka Stričević</w:t>
      </w:r>
    </w:p>
    <w:p w:rsidR="00C3557C" w:rsidRDefault="00C3557C" w:rsidP="00C3557C">
      <w:pPr>
        <w:jc w:val="both"/>
      </w:pPr>
      <w:r>
        <w:t xml:space="preserve">Bilješke sastavila: Tatjana Marincel Borković, dipl. </w:t>
      </w:r>
      <w:proofErr w:type="spellStart"/>
      <w:r>
        <w:t>oec</w:t>
      </w:r>
      <w:proofErr w:type="spellEnd"/>
    </w:p>
    <w:p w:rsidR="00C3557C" w:rsidRDefault="00C3557C" w:rsidP="00C3557C">
      <w:pPr>
        <w:jc w:val="both"/>
      </w:pPr>
      <w:r>
        <w:t xml:space="preserve">Kontakt: e-adresa: </w:t>
      </w:r>
      <w:hyperlink r:id="rId8" w:history="1">
        <w:r w:rsidRPr="007D363A">
          <w:rPr>
            <w:rStyle w:val="Hiperveza"/>
          </w:rPr>
          <w:t>tmarincelborkovic@nsk.hr</w:t>
        </w:r>
      </w:hyperlink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center"/>
        <w:rPr>
          <w:b/>
        </w:rPr>
      </w:pPr>
      <w:r>
        <w:rPr>
          <w:b/>
        </w:rPr>
        <w:t>BILANCA</w:t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  <w:r>
        <w:t xml:space="preserve">Nefinancijska imovina NSK se tijekom 2024. godine neznačajno smanjila i to najvećim dijelom u skladu s obveznim ispravcima vrijednosti zgrade, postrojenja i opreme i nematerijalne proizvedene imovine. NSK je u 2024. nabavila novo službeno vozilo čime je vrijednost na kontu </w:t>
      </w:r>
      <w:r w:rsidRPr="00BF3207">
        <w:rPr>
          <w:i/>
        </w:rPr>
        <w:t>Prijevoznih sredstva u cestovnom prometu</w:t>
      </w:r>
      <w:r w:rsidRPr="00BF3207">
        <w:t xml:space="preserve"> </w:t>
      </w:r>
      <w:r>
        <w:t>porasla. Financijska imovina se smanjila i to u dijelu novca u banci i blagajni, izvršen povrat u državni proračun na dan 31.12. (ranijih godina za godinu u slijedećoj godini odnosno u siječnju slijedeće godine). Na smanjenje financijske imovine utjecali su i otpisi nenaplativih potraživanja. Obveze su smanjene najviše u dijelu obveza za odgođeno plaćanje rashoda i prihoda budućih razdoblja za rashode. Preostale obveze  koje čine rashode poslovanja su rasle u dijelu rashoda za zaposlene, materijalnih rashoda i financijskih rashoda.</w:t>
      </w:r>
    </w:p>
    <w:p w:rsidR="00C3557C" w:rsidRDefault="00C3557C" w:rsidP="00C3557C">
      <w:pPr>
        <w:jc w:val="both"/>
      </w:pPr>
    </w:p>
    <w:p w:rsidR="00C3557C" w:rsidRPr="000170D4" w:rsidRDefault="00C3557C" w:rsidP="00C3557C">
      <w:pPr>
        <w:jc w:val="both"/>
      </w:pPr>
      <w:r w:rsidRPr="000170D4">
        <w:t>Za 2024. godinu provedena je korekcija rezultata u iznosu od 1.052.025,69 €</w:t>
      </w:r>
      <w:r w:rsidRPr="000170D4">
        <w:rPr>
          <w:b/>
        </w:rPr>
        <w:t xml:space="preserve"> </w:t>
      </w:r>
      <w:r w:rsidRPr="000170D4">
        <w:t>zaduživanjem računa viška prihoda poslovanja te odobrenjem računa manjka prihoda od nefinancijske imovine. Korekcija je provedena u cilju realnog iskazivanja strukture viškova i manjkova u bilanci a u skladu s čl. 82 Pravilnika o proračunskom računovodstvu i računskom planu (NN</w:t>
      </w:r>
      <w:r w:rsidRPr="000170D4">
        <w:rPr>
          <w:color w:val="231F20"/>
          <w:shd w:val="clear" w:color="auto" w:fill="FFFFFF"/>
        </w:rPr>
        <w:t xml:space="preserve"> br. 124/14, 115/15, 87/16, 3/18, 126/19 i 108/20)</w:t>
      </w:r>
      <w:r w:rsidRPr="000170D4">
        <w:t>.U 2024. godini provedeni su otpisi nenaplativih potraživanja u ukupnom iznosu od 191.248,48 € zbog prestanka pravne osnove za naplatu navedenih potraživanja. Za iznos PDV-a sadržanog u otpisanim potraživanjima u iznosu od 10.634,19 € terećeni su rashodi redovnog poslovanja.</w:t>
      </w:r>
    </w:p>
    <w:p w:rsidR="00C3557C" w:rsidRDefault="00C3557C" w:rsidP="00C3557C">
      <w:pPr>
        <w:jc w:val="both"/>
      </w:pPr>
      <w:r w:rsidRPr="000170D4">
        <w:t>U 2024. godini provedene su korekcije rezultata radi ispravaka računovodstvenih pogrešaka iz prijašnjih godina u skladu s Pravilnikom o proračunskom računovodstvu i računskom planu (NN</w:t>
      </w:r>
      <w:r w:rsidRPr="000170D4">
        <w:rPr>
          <w:color w:val="231F20"/>
          <w:shd w:val="clear" w:color="auto" w:fill="FFFFFF"/>
        </w:rPr>
        <w:t xml:space="preserve"> br. 124/14, 115/15, 87/16, 3/18, 126/19 i 108/20)</w:t>
      </w:r>
      <w:r w:rsidRPr="000170D4">
        <w:t>.</w:t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center"/>
        <w:rPr>
          <w:b/>
        </w:rPr>
      </w:pPr>
      <w:r>
        <w:rPr>
          <w:b/>
        </w:rPr>
        <w:t>IZVJEŠTAJ O</w:t>
      </w:r>
      <w:r w:rsidRPr="003313EA">
        <w:rPr>
          <w:b/>
        </w:rPr>
        <w:t xml:space="preserve"> </w:t>
      </w:r>
      <w:r>
        <w:rPr>
          <w:b/>
        </w:rPr>
        <w:t xml:space="preserve">PRIHODIMA I RASHODIMA, </w:t>
      </w:r>
    </w:p>
    <w:p w:rsidR="00C3557C" w:rsidRDefault="00C3557C" w:rsidP="00C3557C">
      <w:pPr>
        <w:jc w:val="center"/>
        <w:rPr>
          <w:b/>
        </w:rPr>
      </w:pPr>
      <w:r>
        <w:rPr>
          <w:b/>
        </w:rPr>
        <w:t>PRIMITCIMA I IZDATCIMA</w:t>
      </w:r>
    </w:p>
    <w:p w:rsidR="00C3557C" w:rsidRDefault="00C3557C" w:rsidP="00C3557C">
      <w:pPr>
        <w:jc w:val="both"/>
        <w:rPr>
          <w:b/>
        </w:rPr>
      </w:pPr>
    </w:p>
    <w:p w:rsidR="00D92E24" w:rsidRDefault="00C3557C" w:rsidP="00C3557C">
      <w:pPr>
        <w:jc w:val="both"/>
      </w:pPr>
      <w:r>
        <w:t xml:space="preserve">NSK je tijekom 2024. godine ostvarila ukupne prihode i primitke u iznosu od 17.737.856,61 </w:t>
      </w:r>
      <w:r w:rsidRPr="006F1657">
        <w:t>€</w:t>
      </w:r>
      <w:r w:rsidRPr="006F1657">
        <w:rPr>
          <w:b/>
        </w:rPr>
        <w:t xml:space="preserve"> </w:t>
      </w:r>
      <w:r>
        <w:t xml:space="preserve"> što je za oko 16 % rast u odnosu na prethodnu godinu.</w:t>
      </w:r>
    </w:p>
    <w:p w:rsidR="00C3557C" w:rsidRPr="00173692" w:rsidRDefault="00D92E24" w:rsidP="00C3557C">
      <w:pPr>
        <w:jc w:val="both"/>
      </w:pPr>
      <w:r w:rsidRPr="00D92E24">
        <w:lastRenderedPageBreak/>
        <w:t>To ostvarenje čini porast prihoda u dijelu projektnih aktivnosti za koje NSK aplicira prijavom na natječaje javnih potreba raspisane u Ministarstvu kulture i medija RH.</w:t>
      </w:r>
      <w:r>
        <w:t xml:space="preserve"> </w:t>
      </w:r>
      <w:bookmarkStart w:id="0" w:name="_GoBack"/>
      <w:bookmarkEnd w:id="0"/>
      <w:r w:rsidR="00C3557C">
        <w:t xml:space="preserve">Značajan je porast prihoda u dijelu tekućih pomoći od međunarodnih organizacija te institucija i tijela u </w:t>
      </w:r>
      <w:r w:rsidR="00C3557C" w:rsidRPr="00D50608">
        <w:t xml:space="preserve">EU. </w:t>
      </w:r>
      <w:r w:rsidR="00C3557C" w:rsidRPr="00703DD4">
        <w:t xml:space="preserve">U skladu s ugovorenim NSK je tijekom 2024. godine završila s aktivnostima na </w:t>
      </w:r>
      <w:proofErr w:type="spellStart"/>
      <w:r w:rsidR="00C3557C" w:rsidRPr="00703DD4">
        <w:rPr>
          <w:color w:val="000000"/>
        </w:rPr>
        <w:t>Erasmus</w:t>
      </w:r>
      <w:proofErr w:type="spellEnd"/>
      <w:r w:rsidR="00C3557C" w:rsidRPr="00703DD4">
        <w:rPr>
          <w:color w:val="000000"/>
        </w:rPr>
        <w:t xml:space="preserve"> projektu </w:t>
      </w:r>
      <w:proofErr w:type="spellStart"/>
      <w:r w:rsidR="00C3557C" w:rsidRPr="00703DD4">
        <w:rPr>
          <w:color w:val="000000"/>
        </w:rPr>
        <w:t>Citizen-Enhanced</w:t>
      </w:r>
      <w:proofErr w:type="spellEnd"/>
      <w:r w:rsidR="00C3557C" w:rsidRPr="00703DD4">
        <w:rPr>
          <w:color w:val="000000"/>
        </w:rPr>
        <w:t xml:space="preserve"> Open Science </w:t>
      </w:r>
      <w:proofErr w:type="spellStart"/>
      <w:r w:rsidR="00C3557C" w:rsidRPr="00703DD4">
        <w:rPr>
          <w:color w:val="000000"/>
        </w:rPr>
        <w:t>in</w:t>
      </w:r>
      <w:proofErr w:type="spellEnd"/>
      <w:r w:rsidR="00C3557C" w:rsidRPr="00703DD4">
        <w:rPr>
          <w:color w:val="000000"/>
        </w:rPr>
        <w:t xml:space="preserve"> </w:t>
      </w:r>
      <w:proofErr w:type="spellStart"/>
      <w:r w:rsidR="00C3557C" w:rsidRPr="00703DD4">
        <w:rPr>
          <w:color w:val="000000"/>
        </w:rPr>
        <w:t>Southeastern</w:t>
      </w:r>
      <w:proofErr w:type="spellEnd"/>
      <w:r w:rsidR="00C3557C" w:rsidRPr="00703DD4">
        <w:rPr>
          <w:color w:val="000000"/>
        </w:rPr>
        <w:t xml:space="preserve"> Europe </w:t>
      </w:r>
      <w:proofErr w:type="spellStart"/>
      <w:r w:rsidR="00C3557C" w:rsidRPr="00703DD4">
        <w:rPr>
          <w:color w:val="000000"/>
        </w:rPr>
        <w:t>Higher</w:t>
      </w:r>
      <w:proofErr w:type="spellEnd"/>
      <w:r w:rsidR="00C3557C" w:rsidRPr="00703DD4">
        <w:rPr>
          <w:color w:val="000000"/>
        </w:rPr>
        <w:t xml:space="preserve"> </w:t>
      </w:r>
      <w:proofErr w:type="spellStart"/>
      <w:r w:rsidR="00C3557C" w:rsidRPr="00703DD4">
        <w:rPr>
          <w:color w:val="000000"/>
        </w:rPr>
        <w:t>Education</w:t>
      </w:r>
      <w:proofErr w:type="spellEnd"/>
      <w:r w:rsidR="00C3557C" w:rsidRPr="00703DD4">
        <w:rPr>
          <w:color w:val="000000"/>
        </w:rPr>
        <w:t xml:space="preserve"> </w:t>
      </w:r>
      <w:proofErr w:type="spellStart"/>
      <w:r w:rsidR="00C3557C" w:rsidRPr="00703DD4">
        <w:rPr>
          <w:color w:val="000000"/>
        </w:rPr>
        <w:t>Knowledge</w:t>
      </w:r>
      <w:proofErr w:type="spellEnd"/>
      <w:r w:rsidR="00C3557C" w:rsidRPr="00703DD4">
        <w:rPr>
          <w:color w:val="000000"/>
        </w:rPr>
        <w:t xml:space="preserve"> </w:t>
      </w:r>
      <w:proofErr w:type="spellStart"/>
      <w:r w:rsidR="00C3557C" w:rsidRPr="00703DD4">
        <w:rPr>
          <w:color w:val="000000"/>
        </w:rPr>
        <w:t>Hubs</w:t>
      </w:r>
      <w:proofErr w:type="spellEnd"/>
      <w:r w:rsidR="00C3557C" w:rsidRPr="00703DD4">
        <w:rPr>
          <w:color w:val="000000"/>
        </w:rPr>
        <w:t xml:space="preserve">, ili skraćeno </w:t>
      </w:r>
      <w:proofErr w:type="spellStart"/>
      <w:r w:rsidR="00C3557C" w:rsidRPr="00703DD4">
        <w:rPr>
          <w:color w:val="000000"/>
        </w:rPr>
        <w:t>CeOS_SE</w:t>
      </w:r>
      <w:proofErr w:type="spellEnd"/>
      <w:r w:rsidR="00C3557C" w:rsidRPr="00703DD4">
        <w:rPr>
          <w:color w:val="000000"/>
        </w:rPr>
        <w:t>.</w:t>
      </w:r>
      <w:r w:rsidR="00C3557C">
        <w:rPr>
          <w:color w:val="000000"/>
        </w:rPr>
        <w:t xml:space="preserve"> </w:t>
      </w:r>
      <w:r w:rsidR="00C3557C">
        <w:t xml:space="preserve">NSK je tijekom 2024. godine započela s aktivnosti na </w:t>
      </w:r>
      <w:proofErr w:type="spellStart"/>
      <w:r w:rsidR="00C3557C">
        <w:rPr>
          <w:color w:val="000000"/>
        </w:rPr>
        <w:t>Erasmus</w:t>
      </w:r>
      <w:proofErr w:type="spellEnd"/>
      <w:r w:rsidR="00C3557C">
        <w:rPr>
          <w:color w:val="000000"/>
        </w:rPr>
        <w:t xml:space="preserve"> projektu Poučavanje informacijske pismenosti u nacionalnim knjižnicama.</w:t>
      </w:r>
      <w:r w:rsidR="00C3557C">
        <w:t xml:space="preserve"> </w:t>
      </w:r>
      <w:r w:rsidR="00C3557C">
        <w:rPr>
          <w:rFonts w:cs="Times New Roman"/>
        </w:rPr>
        <w:t xml:space="preserve">U 2024. godini nastavljene su aktivnosti  u okviru projekta e-Sveučilišta NPOO.C3.1.R2-I1.01.0001 financiranim </w:t>
      </w:r>
      <w:r w:rsidR="00C3557C" w:rsidRPr="00FA549D">
        <w:rPr>
          <w:rFonts w:cs="Times New Roman"/>
        </w:rPr>
        <w:t>iz Nacionalnog plana oporavka i otpornosti između Ministarstva znanosti</w:t>
      </w:r>
      <w:r w:rsidR="00C3557C">
        <w:rPr>
          <w:rFonts w:cs="Times New Roman"/>
        </w:rPr>
        <w:t>, obrazovanja i mladih</w:t>
      </w:r>
      <w:r w:rsidR="00C3557C" w:rsidRPr="00FA549D">
        <w:rPr>
          <w:rFonts w:cs="Times New Roman"/>
        </w:rPr>
        <w:t xml:space="preserve"> i CARNETA</w:t>
      </w:r>
      <w:r w:rsidR="00C3557C">
        <w:rPr>
          <w:rFonts w:cs="Times New Roman"/>
        </w:rPr>
        <w:t xml:space="preserve">. </w:t>
      </w:r>
    </w:p>
    <w:p w:rsidR="00C3557C" w:rsidRDefault="00C3557C" w:rsidP="00C3557C">
      <w:pPr>
        <w:jc w:val="both"/>
      </w:pPr>
      <w:r>
        <w:t xml:space="preserve">Prihod od nefinancijske imovine ostvaren je u dijelu kamata na depozite po viđenju. Povećan je porast posebnih prihoda po osnovi upisnina i </w:t>
      </w:r>
      <w:proofErr w:type="spellStart"/>
      <w:r>
        <w:t>zakasnina</w:t>
      </w:r>
      <w:proofErr w:type="spellEnd"/>
      <w:r>
        <w:t>. Vlastiti prihodi od prodaje roba, knjiga i usluga su se neznatno smanjili. Smanjenje kapitalnih prihoda od pomoći i donacija u dijelu koji se odnosi na povećanje fonda knjižne građe obveznog primjerka, dara i zamjene koji se knjigovodstveno vode kroz prihode i u istom odnosu kroz rashode, ali se ne ostvaruju prometom kroz poslovni račun NSK.</w:t>
      </w:r>
    </w:p>
    <w:p w:rsidR="00C3557C" w:rsidRDefault="00C3557C" w:rsidP="00C3557C">
      <w:pPr>
        <w:jc w:val="both"/>
      </w:pPr>
      <w:r>
        <w:t>Prihodi koje NSK ostvari iz nadležnog proračuna porasli su u dijelu koji se odnosi na podmirenje osnovnih aktivnosti redovnog održavanja (hladnog pogona), redovnih primanja (plaća) i materijalnih prava zaposlenika i kapitalnih investicija u održavanje zgrade i nabavu knjiga za Fond NSK.</w:t>
      </w:r>
    </w:p>
    <w:p w:rsidR="00C3557C" w:rsidRPr="00444E31" w:rsidRDefault="00C3557C" w:rsidP="00C3557C">
      <w:pPr>
        <w:jc w:val="both"/>
      </w:pPr>
      <w:r>
        <w:t xml:space="preserve">Rashodi i izdaci su se izvršili u iznosu od 17.791.218,32 </w:t>
      </w:r>
      <w:r w:rsidRPr="006F1657">
        <w:t>€</w:t>
      </w:r>
      <w:r w:rsidRPr="006F1657">
        <w:rPr>
          <w:b/>
        </w:rPr>
        <w:t xml:space="preserve"> </w:t>
      </w:r>
      <w:r>
        <w:t xml:space="preserve">što je za 19% rast u odnosu na prethodnu godinu. Najveći rast izvršenja rashoda odnosi se na rashode za zaposlene koji su se planirano izvršavali temeljem pripadajućih prava iz radnog odnosa i kolektivnih ugovora kojim se povećavala osnovica plaće, koeficijenata te posebnih dodataka na pojedine kategorije koeficijenata. Materijalni rashodi su se izvršavali u skladu s gospodarskim okruženjem u RH gdje su bilježio porast cijena pojedinih usluga i roba na tržištu, a koje su neophodne za održavanje hladnog pogona i redovne djelatnosti NSK. Službena putovanja i stručna usavršavanja zaposlenika porasla su u skladu s potrebama koje proizlaze iz djelatnosti NSK. Službena, radna i zaštitna odjeća se nabavljala u skladu s potrebama službi koje rade u zaštiti i pohrani, vatrogascima, zaštitarima, spremačicama te službe održavanja, Zakupnine i najamnine su porasle u dijelu nabave </w:t>
      </w:r>
      <w:r w:rsidRPr="00D577E8">
        <w:t>jednogodišnjih jamstava za sustav</w:t>
      </w:r>
      <w:r w:rsidRPr="00D577E8">
        <w:rPr>
          <w:rFonts w:cs="Times New Roman"/>
        </w:rPr>
        <w:t xml:space="preserve"> tehničke zaštite i </w:t>
      </w:r>
      <w:proofErr w:type="spellStart"/>
      <w:r w:rsidRPr="00D577E8">
        <w:rPr>
          <w:rFonts w:cs="Times New Roman"/>
        </w:rPr>
        <w:t>videonadzora</w:t>
      </w:r>
      <w:proofErr w:type="spellEnd"/>
      <w:r>
        <w:rPr>
          <w:rFonts w:cs="Times New Roman"/>
        </w:rPr>
        <w:t>. Zdravstvene usluge odnose se na sistematske preglede zaposlenika prema novom TKU su porasle. Računalne usluge porasle su u skladu s redovnim održavanjima sustava neophodnih za redovan rad i izvršavanje djelatnosti knjižnično-informacijskog sustava. Rashodi za nabavu nefinancijske imovine su značajno smanjeni u odnosu na prošlu godinu. Taj pad je rezultat postupka javne nabave koj</w:t>
      </w:r>
      <w:r w:rsidR="002B197C">
        <w:rPr>
          <w:rFonts w:cs="Times New Roman"/>
        </w:rPr>
        <w:t>im</w:t>
      </w:r>
      <w:r>
        <w:rPr>
          <w:rFonts w:cs="Times New Roman"/>
        </w:rPr>
        <w:t xml:space="preserve"> se nabavljala informatička roba </w:t>
      </w:r>
      <w:r w:rsidR="002B197C">
        <w:rPr>
          <w:rFonts w:cs="Times New Roman"/>
        </w:rPr>
        <w:t xml:space="preserve">i </w:t>
      </w:r>
      <w:r>
        <w:rPr>
          <w:rFonts w:cs="Times New Roman"/>
        </w:rPr>
        <w:t>koj</w:t>
      </w:r>
      <w:r w:rsidR="002B197C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2B197C">
        <w:rPr>
          <w:rFonts w:cs="Times New Roman"/>
        </w:rPr>
        <w:t>je</w:t>
      </w:r>
      <w:r>
        <w:rPr>
          <w:rFonts w:cs="Times New Roman"/>
        </w:rPr>
        <w:t xml:space="preserve"> tra</w:t>
      </w:r>
      <w:r w:rsidR="002B197C">
        <w:rPr>
          <w:rFonts w:cs="Times New Roman"/>
        </w:rPr>
        <w:t xml:space="preserve">jao </w:t>
      </w:r>
      <w:r>
        <w:rPr>
          <w:rFonts w:cs="Times New Roman"/>
        </w:rPr>
        <w:t xml:space="preserve">duže od planiranog pa se shodno tome isporuka </w:t>
      </w:r>
      <w:r w:rsidR="002B197C">
        <w:rPr>
          <w:rFonts w:cs="Times New Roman"/>
        </w:rPr>
        <w:t xml:space="preserve">i plaćanje </w:t>
      </w:r>
      <w:r>
        <w:rPr>
          <w:rFonts w:cs="Times New Roman"/>
        </w:rPr>
        <w:t xml:space="preserve">morala prebaciti u slijedeću </w:t>
      </w:r>
      <w:r w:rsidR="002B197C">
        <w:rPr>
          <w:rFonts w:cs="Times New Roman"/>
        </w:rPr>
        <w:t xml:space="preserve">poslovnu </w:t>
      </w:r>
      <w:r>
        <w:rPr>
          <w:rFonts w:cs="Times New Roman"/>
        </w:rPr>
        <w:t>godinu (2025.).</w:t>
      </w:r>
    </w:p>
    <w:p w:rsidR="00C3557C" w:rsidRDefault="00C3557C" w:rsidP="00C3557C">
      <w:pPr>
        <w:jc w:val="both"/>
        <w:rPr>
          <w:rFonts w:cs="Times New Roman"/>
        </w:rPr>
      </w:pPr>
      <w:r>
        <w:rPr>
          <w:rFonts w:cs="Times New Roman"/>
        </w:rPr>
        <w:t>Tijekom 2024. godine izvršavali su se rashodi u okviru aktivnosti na projektu e-Sveučilišta NPOO.C3.1.R2-I1.01.0001. Temeljem pravomoćnih presuda r</w:t>
      </w:r>
      <w:r w:rsidRPr="002A2971">
        <w:rPr>
          <w:rFonts w:cs="Times New Roman"/>
        </w:rPr>
        <w:t>adi isplate razlike plaća temeljem odredbe članka III. Izmjena i dopuna Dodatka Sporazuma o osnovici plaće u javnim službama sklopljenog 26. listopada 2011. između Vlade RH i Sindikata javnih službi</w:t>
      </w:r>
      <w:r>
        <w:rPr>
          <w:rFonts w:cs="Times New Roman"/>
        </w:rPr>
        <w:t>, NSK je tijekom izvještajne godine NSK je nastavila s isplatama.</w:t>
      </w:r>
    </w:p>
    <w:p w:rsidR="00C3557C" w:rsidRDefault="00C3557C" w:rsidP="00C3557C">
      <w:pPr>
        <w:jc w:val="both"/>
        <w:rPr>
          <w:rFonts w:cs="Times New Roman"/>
        </w:rPr>
      </w:pPr>
    </w:p>
    <w:p w:rsidR="00C3557C" w:rsidRDefault="00C3557C" w:rsidP="00C3557C">
      <w:pPr>
        <w:jc w:val="both"/>
      </w:pPr>
      <w:r>
        <w:t xml:space="preserve">Stanje novčanih sredstava na dan 31. prosinca 2024. iznosi 2.180.335,61 </w:t>
      </w:r>
      <w:r w:rsidRPr="006F1657">
        <w:t>€</w:t>
      </w:r>
      <w:r>
        <w:t xml:space="preserve"> što je smanjenje od 4% u odnosu na prethodnu godinu. Novčana sredstva čine obveze po povratima jamstava za ponude, uredno izvršenje ugovornih obveza i jamstava za zakup poslovnih prostora. </w:t>
      </w:r>
      <w:r>
        <w:rPr>
          <w:color w:val="000000"/>
        </w:rPr>
        <w:t>Pravilnikom o načinu i uvjetima izvršavanja državnog proračuna i financijskog plana proračunskog korisnika državnog proračuna s jedinstvenog računa državnog proračuna (NN br. 157/23.), člankom 17., propisano je da se proračunski korisnici koji su zakonom o izvršavanju državnog proračuna RH izuzeti od poslovanja preko jedinstvenog računa državnog proračuna, dužni neutrošena sredstva iz izvora financiranja 11 Opći prihodi i primici vratiti na jedinstveni račun državnog proračuna najkasnije u roku od 40 dana od njihovog primitka</w:t>
      </w:r>
      <w:r w:rsidRPr="000A7EFC">
        <w:rPr>
          <w:color w:val="000000"/>
        </w:rPr>
        <w:t>, </w:t>
      </w:r>
      <w:r w:rsidRPr="000A7EFC">
        <w:rPr>
          <w:bCs/>
          <w:color w:val="000000"/>
        </w:rPr>
        <w:t>a najkasnije do 31. prosinca tekuće proračunske godine</w:t>
      </w:r>
      <w:r>
        <w:rPr>
          <w:bCs/>
          <w:color w:val="000000"/>
        </w:rPr>
        <w:t xml:space="preserve"> što je NSK učinila.</w:t>
      </w:r>
    </w:p>
    <w:p w:rsidR="00C3557C" w:rsidRDefault="00C3557C" w:rsidP="00C3557C">
      <w:pPr>
        <w:jc w:val="both"/>
      </w:pPr>
      <w:r>
        <w:t>NSK je na dan 31. prosinca 2024. imala 307 zaposlenih od toga dva zaposlena na teret Ministarstva kulture i medija, dva na teret vlastitih prihoda i preostalih 303 na teret Ministarstva znanosti, obrazovanja i mladih (Državni proračun).</w:t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center"/>
        <w:rPr>
          <w:b/>
        </w:rPr>
      </w:pPr>
      <w:r>
        <w:rPr>
          <w:b/>
        </w:rPr>
        <w:lastRenderedPageBreak/>
        <w:t>IZVJEŠTAJ O</w:t>
      </w:r>
      <w:r w:rsidRPr="003313EA">
        <w:rPr>
          <w:b/>
        </w:rPr>
        <w:t xml:space="preserve"> OBVEZ</w:t>
      </w:r>
      <w:r>
        <w:rPr>
          <w:b/>
        </w:rPr>
        <w:t>AMA</w:t>
      </w:r>
    </w:p>
    <w:p w:rsidR="00C3557C" w:rsidRDefault="00C3557C" w:rsidP="00C3557C">
      <w:pPr>
        <w:jc w:val="center"/>
        <w:rPr>
          <w:b/>
        </w:rPr>
      </w:pPr>
    </w:p>
    <w:p w:rsidR="00C3557C" w:rsidRPr="00071262" w:rsidRDefault="00C3557C" w:rsidP="00C3557C">
      <w:pPr>
        <w:jc w:val="both"/>
      </w:pPr>
      <w:r>
        <w:t xml:space="preserve">Stanje </w:t>
      </w:r>
      <w:r w:rsidR="0054703A">
        <w:t xml:space="preserve">ukupnih </w:t>
      </w:r>
      <w:r>
        <w:t xml:space="preserve">obveza na </w:t>
      </w:r>
      <w:r w:rsidR="0054703A">
        <w:t xml:space="preserve">dan </w:t>
      </w:r>
      <w:r>
        <w:t>31.12.2024. iznosi 1.388.992,56 €</w:t>
      </w:r>
      <w:r w:rsidR="0054703A">
        <w:t>.</w:t>
      </w:r>
    </w:p>
    <w:p w:rsidR="00C3557C" w:rsidRDefault="00C3557C" w:rsidP="00C3557C">
      <w:pPr>
        <w:jc w:val="both"/>
      </w:pPr>
      <w:r w:rsidRPr="00DC5AE7">
        <w:rPr>
          <w:i/>
        </w:rPr>
        <w:t>Dospjele obveze</w:t>
      </w:r>
      <w:r>
        <w:rPr>
          <w:i/>
        </w:rPr>
        <w:t xml:space="preserve"> </w:t>
      </w:r>
      <w:r w:rsidRPr="00E11CF8">
        <w:rPr>
          <w:i/>
        </w:rPr>
        <w:t>–</w:t>
      </w:r>
      <w:r>
        <w:rPr>
          <w:i/>
        </w:rPr>
        <w:t xml:space="preserve"> </w:t>
      </w:r>
      <w:r>
        <w:t xml:space="preserve">čini obveza za materijalni rashod u iznosu od 124,43 </w:t>
      </w:r>
      <w:r w:rsidRPr="006F1657">
        <w:t>€</w:t>
      </w:r>
      <w:r>
        <w:t xml:space="preserve"> s prekoračenjem dospijeća u razdoblju preko 360 dana. Radi se o usluzi servisiranja stroja za pakiranje pošiljki za koju NSK od izvođača nije zaprimio adekvatnu dokumentaciju kojom potvrđuje izvršenost usluge te se u skladu s time ne može izvršiti plaćanje. Tijekom 2025. godine očekuje se razrješenje ove obveze plaćanjem ili knjižnim odobrenjem. </w:t>
      </w:r>
    </w:p>
    <w:p w:rsidR="00C3557C" w:rsidRDefault="00C3557C" w:rsidP="00C3557C">
      <w:pPr>
        <w:jc w:val="both"/>
      </w:pPr>
      <w:r>
        <w:rPr>
          <w:i/>
        </w:rPr>
        <w:t>Nedospjele obveze</w:t>
      </w:r>
      <w:r w:rsidRPr="00E11CF8">
        <w:rPr>
          <w:i/>
        </w:rPr>
        <w:t xml:space="preserve"> –</w:t>
      </w:r>
      <w:r w:rsidRPr="00376785">
        <w:t xml:space="preserve"> </w:t>
      </w:r>
      <w:r>
        <w:t>u iznosu od 1.261.647,99 € sastoje se od obveza za rashode poslovanja koje čine obveze za plaće zaposlenih, rashoda za usluge energije i materijala te ostale usluge, obveza po obračunu PDV-a i obveza za financijske rashode. Dio nedospjelih obveza čine obveze za nabavu nefinancijske imovine u iznosu od 1.392,13 € koje se odnose na nabavu opreme za održavanje eksterijera i interijera u NSK te dodatna ulaganja u zgradu NSK.</w:t>
      </w:r>
    </w:p>
    <w:p w:rsidR="00C3557C" w:rsidRDefault="00C3557C" w:rsidP="00C3557C">
      <w:pPr>
        <w:jc w:val="both"/>
      </w:pPr>
      <w:r w:rsidRPr="003A1A8D">
        <w:rPr>
          <w:i/>
        </w:rPr>
        <w:t>Međuproračunske obveze</w:t>
      </w:r>
      <w:r>
        <w:rPr>
          <w:i/>
        </w:rPr>
        <w:t xml:space="preserve"> </w:t>
      </w:r>
      <w:r w:rsidRPr="00E11CF8">
        <w:rPr>
          <w:i/>
        </w:rPr>
        <w:t>–</w:t>
      </w:r>
      <w:r>
        <w:rPr>
          <w:i/>
        </w:rPr>
        <w:t xml:space="preserve"> </w:t>
      </w:r>
      <w:r>
        <w:t>u iznosu od 125.828,01 € čini obveza</w:t>
      </w:r>
      <w:r w:rsidRPr="00115BF8">
        <w:t xml:space="preserve"> </w:t>
      </w:r>
      <w:r>
        <w:t xml:space="preserve">naknade </w:t>
      </w:r>
      <w:r w:rsidRPr="00115BF8">
        <w:t xml:space="preserve">za bolovanje </w:t>
      </w:r>
      <w:r>
        <w:t xml:space="preserve">za koje se očekuje refundacija Hrvatskog zavoda za zdravstveno osiguranje. </w:t>
      </w:r>
    </w:p>
    <w:p w:rsidR="00C3557C" w:rsidRDefault="00C3557C" w:rsidP="00C3557C">
      <w:pPr>
        <w:jc w:val="both"/>
        <w:rPr>
          <w:i/>
        </w:rPr>
      </w:pPr>
    </w:p>
    <w:p w:rsidR="00C3557C" w:rsidRDefault="00C3557C" w:rsidP="00C3557C">
      <w:pPr>
        <w:jc w:val="both"/>
        <w:rPr>
          <w:i/>
        </w:rPr>
      </w:pPr>
    </w:p>
    <w:p w:rsidR="00C3557C" w:rsidRDefault="00C3557C" w:rsidP="00C3557C">
      <w:pPr>
        <w:jc w:val="center"/>
        <w:rPr>
          <w:b/>
        </w:rPr>
      </w:pPr>
      <w:r>
        <w:rPr>
          <w:b/>
        </w:rPr>
        <w:t>IZVJEŠTAJ O PROMJENAMA U VRIJEDNOSTI I OBUJMU</w:t>
      </w:r>
    </w:p>
    <w:p w:rsidR="00C3557C" w:rsidRDefault="00C3557C" w:rsidP="00C3557C">
      <w:pPr>
        <w:jc w:val="center"/>
        <w:rPr>
          <w:b/>
        </w:rPr>
      </w:pPr>
      <w:r>
        <w:rPr>
          <w:b/>
        </w:rPr>
        <w:t xml:space="preserve"> IMOVINE I OBVEZA</w:t>
      </w:r>
    </w:p>
    <w:p w:rsidR="00C3557C" w:rsidRDefault="00C3557C" w:rsidP="00C3557C">
      <w:pPr>
        <w:jc w:val="center"/>
        <w:rPr>
          <w:b/>
        </w:rPr>
      </w:pPr>
    </w:p>
    <w:p w:rsidR="00C3557C" w:rsidRDefault="00C3557C" w:rsidP="00C3557C">
      <w:pPr>
        <w:jc w:val="both"/>
      </w:pPr>
      <w:r>
        <w:t>U 2024. godini evidentirane su promjene u vrijednosti imovine u ukupnom iznosu od 580,56 €. Smanjenje vrijednosti imovine provedeno je temeljem Odluke o rashodovanju imovine od 17. siječnja 2024. godine KLASA: 029-01/24-01/04 i URBROJ: 474-13-01-2.</w:t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  <w:r>
        <w:t>U 2024. godini evidentirane su promjene u obujmu imovine u ukupnom iznosu od 75.602,73 €. Povećanje obujma imovine provedeno je temeljem Odluke o prijenosu vlasništva opreme od 30. srpnja 2024. KLASA: 406-04/24-01/0022 i URBROJ: 532-02-01-02/1-24-03 kojom je Ministarstvo kulture i medija prenijelo vlasništvo nad opremom na Nacionalnu i sveučilišnu knjižnicu u Zagrebu.</w:t>
      </w:r>
    </w:p>
    <w:p w:rsidR="00C3557C" w:rsidRDefault="00C3557C" w:rsidP="00C3557C">
      <w:pPr>
        <w:jc w:val="center"/>
        <w:rPr>
          <w:b/>
        </w:rPr>
      </w:pPr>
    </w:p>
    <w:p w:rsidR="00C3557C" w:rsidRPr="00115BF8" w:rsidRDefault="00C3557C" w:rsidP="00C3557C"/>
    <w:p w:rsidR="00C3557C" w:rsidRDefault="00C3557C" w:rsidP="00C3557C">
      <w:pPr>
        <w:jc w:val="center"/>
        <w:rPr>
          <w:b/>
        </w:rPr>
      </w:pPr>
      <w:r>
        <w:rPr>
          <w:b/>
        </w:rPr>
        <w:t xml:space="preserve">IZVJEŠTAJ O RASHODIMA PREMA </w:t>
      </w:r>
    </w:p>
    <w:p w:rsidR="00C3557C" w:rsidRDefault="00C3557C" w:rsidP="00C3557C">
      <w:pPr>
        <w:jc w:val="center"/>
        <w:rPr>
          <w:b/>
        </w:rPr>
      </w:pPr>
      <w:r>
        <w:rPr>
          <w:b/>
        </w:rPr>
        <w:t>FUNKCIJSKOJ KLASIFIKACIJI</w:t>
      </w:r>
    </w:p>
    <w:p w:rsidR="00C3557C" w:rsidRDefault="00C3557C" w:rsidP="00C3557C">
      <w:pPr>
        <w:jc w:val="center"/>
        <w:rPr>
          <w:b/>
        </w:rPr>
      </w:pPr>
    </w:p>
    <w:p w:rsidR="00C3557C" w:rsidRPr="00115BF8" w:rsidRDefault="00C3557C" w:rsidP="00C3557C">
      <w:r>
        <w:t xml:space="preserve">U 2024. godini NSK je prema pripadajućoj funkcijskoj klasifikacija izvršila ukupne rashode i izdatke u okviru službi kulture u iznosu od 17.791.218,32 </w:t>
      </w:r>
      <w:r w:rsidRPr="006F1657">
        <w:t>€</w:t>
      </w:r>
      <w:r>
        <w:t xml:space="preserve">. </w:t>
      </w:r>
    </w:p>
    <w:p w:rsidR="00C3557C" w:rsidRPr="003A1A8D" w:rsidRDefault="00C3557C" w:rsidP="00C3557C">
      <w:pPr>
        <w:jc w:val="both"/>
        <w:rPr>
          <w:i/>
        </w:rPr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  <w:r>
        <w:t xml:space="preserve">v.d. voditelja </w:t>
      </w:r>
    </w:p>
    <w:p w:rsidR="00C3557C" w:rsidRDefault="00C3557C" w:rsidP="00C3557C">
      <w:pPr>
        <w:jc w:val="both"/>
      </w:pPr>
      <w:r>
        <w:t>Odsjeka financijski i računovodstveni poslovi</w:t>
      </w:r>
    </w:p>
    <w:p w:rsidR="00C3557C" w:rsidRDefault="00C3557C" w:rsidP="00C3557C">
      <w:pPr>
        <w:jc w:val="both"/>
      </w:pPr>
      <w:r>
        <w:t xml:space="preserve">Tatjana Marincel Borković, dipl. </w:t>
      </w:r>
      <w:proofErr w:type="spellStart"/>
      <w:r>
        <w:t>oec</w:t>
      </w:r>
      <w:proofErr w:type="spellEnd"/>
    </w:p>
    <w:p w:rsidR="00C3557C" w:rsidRDefault="00C3557C" w:rsidP="00C3557C">
      <w:pPr>
        <w:jc w:val="both"/>
        <w:rPr>
          <w:i/>
        </w:rPr>
      </w:pPr>
      <w:r>
        <w:tab/>
        <w:t xml:space="preserve">     </w:t>
      </w:r>
      <w:r w:rsidRPr="005F488C">
        <w:rPr>
          <w:i/>
        </w:rPr>
        <w:tab/>
      </w:r>
    </w:p>
    <w:p w:rsidR="00C3557C" w:rsidRPr="005F488C" w:rsidRDefault="00C3557C" w:rsidP="00C3557C">
      <w:pPr>
        <w:jc w:val="both"/>
        <w:rPr>
          <w:i/>
        </w:rPr>
      </w:pPr>
      <w:r>
        <w:rPr>
          <w:i/>
        </w:rPr>
        <w:t>_____________________________</w:t>
      </w:r>
    </w:p>
    <w:p w:rsidR="00C3557C" w:rsidRDefault="00C3557C" w:rsidP="00C3557C">
      <w:pPr>
        <w:jc w:val="both"/>
      </w:pPr>
      <w:r>
        <w:rPr>
          <w:i/>
        </w:rPr>
        <w:t xml:space="preserve">                   </w:t>
      </w:r>
      <w:r w:rsidRPr="005F488C">
        <w:rPr>
          <w:i/>
        </w:rPr>
        <w:t>potpis</w:t>
      </w:r>
    </w:p>
    <w:p w:rsidR="00C3557C" w:rsidRPr="00A049B8" w:rsidRDefault="00C3557C" w:rsidP="00C3557C">
      <w:pPr>
        <w:jc w:val="both"/>
        <w:rPr>
          <w:rFonts w:cs="Times New Roman"/>
        </w:rPr>
      </w:pPr>
      <w:r w:rsidRPr="00A049B8">
        <w:rPr>
          <w:rFonts w:cs="Times New Roman"/>
        </w:rPr>
        <w:t>Kontakti:</w:t>
      </w:r>
    </w:p>
    <w:p w:rsidR="00C3557C" w:rsidRDefault="00C3557C" w:rsidP="00C3557C">
      <w:pPr>
        <w:rPr>
          <w:rFonts w:eastAsiaTheme="minorEastAsia" w:cs="Times New Roman"/>
          <w:noProof/>
          <w:color w:val="000000"/>
        </w:rPr>
      </w:pPr>
      <w:r w:rsidRPr="00A049B8">
        <w:rPr>
          <w:rFonts w:eastAsiaTheme="minorEastAsia" w:cs="Times New Roman"/>
          <w:noProof/>
          <w:color w:val="A20000"/>
        </w:rPr>
        <w:t>T.</w:t>
      </w:r>
      <w:r w:rsidRPr="00A049B8">
        <w:rPr>
          <w:rFonts w:eastAsiaTheme="minorEastAsia" w:cs="Times New Roman"/>
          <w:noProof/>
          <w:color w:val="000000"/>
        </w:rPr>
        <w:t xml:space="preserve"> +385 1 616 4026 </w:t>
      </w:r>
    </w:p>
    <w:p w:rsidR="00C3557C" w:rsidRDefault="00C3557C" w:rsidP="00C3557C">
      <w:pPr>
        <w:rPr>
          <w:rFonts w:eastAsiaTheme="minorEastAsia" w:cs="Times New Roman"/>
          <w:noProof/>
          <w:color w:val="000000"/>
        </w:rPr>
      </w:pPr>
      <w:r w:rsidRPr="00A049B8">
        <w:rPr>
          <w:rFonts w:eastAsiaTheme="minorEastAsia" w:cs="Times New Roman"/>
          <w:noProof/>
          <w:color w:val="C0504D" w:themeColor="accent2"/>
        </w:rPr>
        <w:t xml:space="preserve">M: </w:t>
      </w:r>
      <w:r w:rsidRPr="00A049B8">
        <w:rPr>
          <w:rFonts w:eastAsiaTheme="minorEastAsia" w:cs="Times New Roman"/>
          <w:noProof/>
          <w:color w:val="000000"/>
        </w:rPr>
        <w:t xml:space="preserve"> +385 99 496 746</w:t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Odgovorna osoba </w:t>
      </w:r>
    </w:p>
    <w:p w:rsidR="00C3557C" w:rsidRDefault="00C3557C" w:rsidP="00C355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dr. </w:t>
      </w:r>
      <w:proofErr w:type="spellStart"/>
      <w:r>
        <w:t>sc</w:t>
      </w:r>
      <w:proofErr w:type="spellEnd"/>
      <w:r>
        <w:t>. Ivanka Stričević</w:t>
      </w:r>
    </w:p>
    <w:p w:rsidR="00C3557C" w:rsidRDefault="00C3557C" w:rsidP="00C355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557C" w:rsidRDefault="00C3557C" w:rsidP="00C3557C">
      <w:pPr>
        <w:jc w:val="both"/>
      </w:pPr>
    </w:p>
    <w:p w:rsidR="00C3557C" w:rsidRDefault="00C3557C" w:rsidP="00C3557C">
      <w:pPr>
        <w:jc w:val="both"/>
      </w:pPr>
    </w:p>
    <w:p w:rsidR="00C3557C" w:rsidRDefault="00C3557C" w:rsidP="00C3557C">
      <w:pPr>
        <w:ind w:left="5664" w:firstLine="708"/>
        <w:jc w:val="both"/>
      </w:pPr>
      <w:r>
        <w:t>_______________________</w:t>
      </w:r>
    </w:p>
    <w:p w:rsidR="004D0790" w:rsidRPr="003F1F68" w:rsidRDefault="00C3557C" w:rsidP="003F1F68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F488C">
        <w:rPr>
          <w:i/>
        </w:rPr>
        <w:t>potpis</w:t>
      </w:r>
    </w:p>
    <w:sectPr w:rsidR="004D0790" w:rsidRPr="003F1F68" w:rsidSect="00056148">
      <w:footerReference w:type="default" r:id="rId9"/>
      <w:headerReference w:type="first" r:id="rId10"/>
      <w:footerReference w:type="first" r:id="rId11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A1" w:rsidRPr="005E3DE1" w:rsidRDefault="007F4EA1" w:rsidP="005E3DE1">
      <w:r>
        <w:separator/>
      </w:r>
    </w:p>
  </w:endnote>
  <w:endnote w:type="continuationSeparator" w:id="0">
    <w:p w:rsidR="007F4EA1" w:rsidRPr="005E3DE1" w:rsidRDefault="007F4EA1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2835"/>
      <w:docPartObj>
        <w:docPartGallery w:val="Page Numbers (Bottom of Page)"/>
        <w:docPartUnique/>
      </w:docPartObj>
    </w:sdtPr>
    <w:sdtEndPr/>
    <w:sdtContent>
      <w:sdt>
        <w:sdtPr>
          <w:id w:val="-669252405"/>
          <w:docPartObj>
            <w:docPartGallery w:val="Page Numbers (Top of Page)"/>
            <w:docPartUnique/>
          </w:docPartObj>
        </w:sdtPr>
        <w:sdtEndPr/>
        <w:sdtContent>
          <w:p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A1" w:rsidRPr="005E3DE1" w:rsidRDefault="007F4EA1" w:rsidP="005E3DE1">
      <w:r>
        <w:separator/>
      </w:r>
    </w:p>
  </w:footnote>
  <w:footnote w:type="continuationSeparator" w:id="0">
    <w:p w:rsidR="007F4EA1" w:rsidRPr="005E3DE1" w:rsidRDefault="007F4EA1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89F3C6" wp14:editId="1859B1DF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13C35EC"/>
    <w:multiLevelType w:val="hybridMultilevel"/>
    <w:tmpl w:val="73E0C71C"/>
    <w:lvl w:ilvl="0" w:tplc="DFAC6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2EAF"/>
    <w:multiLevelType w:val="hybridMultilevel"/>
    <w:tmpl w:val="895AB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A0595"/>
    <w:multiLevelType w:val="hybridMultilevel"/>
    <w:tmpl w:val="CFB869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64E5E"/>
    <w:multiLevelType w:val="hybridMultilevel"/>
    <w:tmpl w:val="4998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654D9"/>
    <w:rsid w:val="00083BBF"/>
    <w:rsid w:val="00095C4B"/>
    <w:rsid w:val="000A58AD"/>
    <w:rsid w:val="001511FF"/>
    <w:rsid w:val="00152068"/>
    <w:rsid w:val="00182170"/>
    <w:rsid w:val="001A20EF"/>
    <w:rsid w:val="001E4030"/>
    <w:rsid w:val="0020016C"/>
    <w:rsid w:val="00213A92"/>
    <w:rsid w:val="00214835"/>
    <w:rsid w:val="0023569B"/>
    <w:rsid w:val="0026142A"/>
    <w:rsid w:val="00264945"/>
    <w:rsid w:val="00280BBE"/>
    <w:rsid w:val="00282F0F"/>
    <w:rsid w:val="002B197C"/>
    <w:rsid w:val="002B497A"/>
    <w:rsid w:val="002B79B2"/>
    <w:rsid w:val="002C2CC1"/>
    <w:rsid w:val="002D1AF1"/>
    <w:rsid w:val="002E42A2"/>
    <w:rsid w:val="00307C25"/>
    <w:rsid w:val="00314CCE"/>
    <w:rsid w:val="00340115"/>
    <w:rsid w:val="00391A19"/>
    <w:rsid w:val="00397644"/>
    <w:rsid w:val="003D64B7"/>
    <w:rsid w:val="003E0607"/>
    <w:rsid w:val="003F1F68"/>
    <w:rsid w:val="004022EB"/>
    <w:rsid w:val="00410A9E"/>
    <w:rsid w:val="0041716F"/>
    <w:rsid w:val="004703E5"/>
    <w:rsid w:val="0048414E"/>
    <w:rsid w:val="00495E1F"/>
    <w:rsid w:val="004A0B2F"/>
    <w:rsid w:val="004A3243"/>
    <w:rsid w:val="004B10A1"/>
    <w:rsid w:val="004C2BA6"/>
    <w:rsid w:val="004C5C14"/>
    <w:rsid w:val="004D02FC"/>
    <w:rsid w:val="004D0790"/>
    <w:rsid w:val="004D61F5"/>
    <w:rsid w:val="004E2D0D"/>
    <w:rsid w:val="005136FF"/>
    <w:rsid w:val="005415B4"/>
    <w:rsid w:val="0054703A"/>
    <w:rsid w:val="00573C1A"/>
    <w:rsid w:val="005C1A2B"/>
    <w:rsid w:val="005D46BA"/>
    <w:rsid w:val="005E3DE1"/>
    <w:rsid w:val="006558AC"/>
    <w:rsid w:val="00657DC4"/>
    <w:rsid w:val="00661506"/>
    <w:rsid w:val="00675D3B"/>
    <w:rsid w:val="00680831"/>
    <w:rsid w:val="006B22D0"/>
    <w:rsid w:val="006D052F"/>
    <w:rsid w:val="006F30F1"/>
    <w:rsid w:val="007773C8"/>
    <w:rsid w:val="007865EF"/>
    <w:rsid w:val="007C341D"/>
    <w:rsid w:val="007F4EA1"/>
    <w:rsid w:val="0080421E"/>
    <w:rsid w:val="008221F1"/>
    <w:rsid w:val="008526D9"/>
    <w:rsid w:val="00855F87"/>
    <w:rsid w:val="00870AA4"/>
    <w:rsid w:val="008814FA"/>
    <w:rsid w:val="00882896"/>
    <w:rsid w:val="008937A7"/>
    <w:rsid w:val="008B2103"/>
    <w:rsid w:val="008C1882"/>
    <w:rsid w:val="008C22FC"/>
    <w:rsid w:val="00910E20"/>
    <w:rsid w:val="00914A69"/>
    <w:rsid w:val="00915D2B"/>
    <w:rsid w:val="00926E3B"/>
    <w:rsid w:val="0094714C"/>
    <w:rsid w:val="00950FA9"/>
    <w:rsid w:val="0097087C"/>
    <w:rsid w:val="0098036D"/>
    <w:rsid w:val="0099604C"/>
    <w:rsid w:val="009A2DFE"/>
    <w:rsid w:val="009D077F"/>
    <w:rsid w:val="009E47F1"/>
    <w:rsid w:val="00A00387"/>
    <w:rsid w:val="00A07A27"/>
    <w:rsid w:val="00A6563C"/>
    <w:rsid w:val="00AA2ED8"/>
    <w:rsid w:val="00AC73CA"/>
    <w:rsid w:val="00AD7C2D"/>
    <w:rsid w:val="00B00BE0"/>
    <w:rsid w:val="00B0260B"/>
    <w:rsid w:val="00B1747F"/>
    <w:rsid w:val="00B34E1E"/>
    <w:rsid w:val="00BA45CE"/>
    <w:rsid w:val="00BA7B0E"/>
    <w:rsid w:val="00BD0A32"/>
    <w:rsid w:val="00BD57D1"/>
    <w:rsid w:val="00BE134C"/>
    <w:rsid w:val="00BF16C6"/>
    <w:rsid w:val="00C20222"/>
    <w:rsid w:val="00C3264F"/>
    <w:rsid w:val="00C3557C"/>
    <w:rsid w:val="00C57DA8"/>
    <w:rsid w:val="00C702AE"/>
    <w:rsid w:val="00C86956"/>
    <w:rsid w:val="00C97A6E"/>
    <w:rsid w:val="00CB34D2"/>
    <w:rsid w:val="00CC313B"/>
    <w:rsid w:val="00D22026"/>
    <w:rsid w:val="00D272BA"/>
    <w:rsid w:val="00D50608"/>
    <w:rsid w:val="00D71B69"/>
    <w:rsid w:val="00D92E24"/>
    <w:rsid w:val="00DA0A80"/>
    <w:rsid w:val="00DC5CB4"/>
    <w:rsid w:val="00DF599D"/>
    <w:rsid w:val="00E00F96"/>
    <w:rsid w:val="00E07716"/>
    <w:rsid w:val="00E322EB"/>
    <w:rsid w:val="00E35A1E"/>
    <w:rsid w:val="00E41FC4"/>
    <w:rsid w:val="00E4488A"/>
    <w:rsid w:val="00E64327"/>
    <w:rsid w:val="00E85760"/>
    <w:rsid w:val="00E9674B"/>
    <w:rsid w:val="00EA34FA"/>
    <w:rsid w:val="00EA3CBF"/>
    <w:rsid w:val="00EB5EE0"/>
    <w:rsid w:val="00EF2FC1"/>
    <w:rsid w:val="00F2591C"/>
    <w:rsid w:val="00F3046A"/>
    <w:rsid w:val="00F674CF"/>
    <w:rsid w:val="00F826C1"/>
    <w:rsid w:val="00F92BDD"/>
    <w:rsid w:val="00FB3DE1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5A99CC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3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rincelborkovic@ns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9D06-F3ED-45E1-8CE3-02879C32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Hasanec</dc:creator>
  <cp:lastModifiedBy>Tatjana Marincel Borković</cp:lastModifiedBy>
  <cp:revision>9</cp:revision>
  <cp:lastPrinted>2025-01-30T08:09:00Z</cp:lastPrinted>
  <dcterms:created xsi:type="dcterms:W3CDTF">2025-01-30T07:21:00Z</dcterms:created>
  <dcterms:modified xsi:type="dcterms:W3CDTF">2025-01-30T08:16:00Z</dcterms:modified>
</cp:coreProperties>
</file>