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4AEFA" w14:textId="1951514F" w:rsidR="005361CC" w:rsidRPr="009972E1" w:rsidRDefault="005361CC" w:rsidP="005361CC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>KLASA:</w:t>
      </w:r>
      <w:r w:rsidR="006F2C95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="002226DA">
        <w:rPr>
          <w:rFonts w:eastAsia="Times New Roman" w:cs="Times New Roman"/>
          <w:color w:val="000000"/>
          <w:sz w:val="24"/>
          <w:szCs w:val="24"/>
          <w:lang w:eastAsia="hr-HR"/>
        </w:rPr>
        <w:t>470-01/24-01/04</w:t>
      </w:r>
      <w:r w:rsidR="002226DA" w:rsidRPr="009972E1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C1982B0" w14:textId="49786BB2" w:rsidR="005361CC" w:rsidRPr="009972E1" w:rsidRDefault="005361CC" w:rsidP="005361CC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>URBROJ:</w:t>
      </w:r>
      <w:r w:rsidR="006F2C95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="002226DA">
        <w:rPr>
          <w:rFonts w:eastAsia="Times New Roman" w:cs="Times New Roman"/>
          <w:color w:val="000000"/>
          <w:sz w:val="24"/>
          <w:szCs w:val="24"/>
          <w:lang w:eastAsia="hr-HR"/>
        </w:rPr>
        <w:t>474-13-03-</w:t>
      </w:r>
      <w:r w:rsidR="00B7146D">
        <w:rPr>
          <w:rFonts w:eastAsia="Times New Roman" w:cs="Times New Roman"/>
          <w:color w:val="000000"/>
          <w:sz w:val="24"/>
          <w:szCs w:val="24"/>
          <w:lang w:eastAsia="hr-HR"/>
        </w:rPr>
        <w:t>2</w:t>
      </w:r>
      <w:bookmarkStart w:id="0" w:name="_GoBack"/>
      <w:bookmarkEnd w:id="0"/>
    </w:p>
    <w:p w14:paraId="09B779ED" w14:textId="77777777" w:rsidR="005136FF" w:rsidRPr="009972E1" w:rsidRDefault="005136FF" w:rsidP="005136FF">
      <w:pPr>
        <w:rPr>
          <w:rFonts w:eastAsia="Calibri" w:cs="Times New Roman"/>
          <w:sz w:val="24"/>
          <w:szCs w:val="24"/>
        </w:rPr>
      </w:pPr>
    </w:p>
    <w:p w14:paraId="5ECD205C" w14:textId="77777777" w:rsidR="00446612" w:rsidRPr="009972E1" w:rsidRDefault="00446612" w:rsidP="00446612">
      <w:pPr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7E5F4A27" w14:textId="47CB8584" w:rsidR="00E234CC" w:rsidRPr="009972E1" w:rsidRDefault="00E234CC" w:rsidP="00E234CC">
      <w:pPr>
        <w:jc w:val="center"/>
        <w:rPr>
          <w:rFonts w:cs="Times New Roman"/>
          <w:b/>
          <w:sz w:val="24"/>
          <w:szCs w:val="24"/>
        </w:rPr>
      </w:pPr>
      <w:r w:rsidRPr="009972E1">
        <w:rPr>
          <w:rStyle w:val="zadanifontodlomka-000006"/>
          <w:b/>
          <w:sz w:val="24"/>
          <w:szCs w:val="24"/>
        </w:rPr>
        <w:t xml:space="preserve">Obrazloženje </w:t>
      </w:r>
      <w:r w:rsidR="006F2C95">
        <w:rPr>
          <w:rStyle w:val="zadanifontodlomka-000006"/>
          <w:b/>
          <w:sz w:val="24"/>
          <w:szCs w:val="24"/>
        </w:rPr>
        <w:t>P</w:t>
      </w:r>
      <w:r w:rsidR="009678BC" w:rsidRPr="009972E1">
        <w:rPr>
          <w:rStyle w:val="zadanifontodlomka-000006"/>
          <w:b/>
          <w:sz w:val="24"/>
          <w:szCs w:val="24"/>
        </w:rPr>
        <w:t xml:space="preserve">osebnog </w:t>
      </w:r>
      <w:r w:rsidRPr="009972E1">
        <w:rPr>
          <w:rStyle w:val="zadanifontodlomka-000006"/>
          <w:b/>
          <w:sz w:val="24"/>
          <w:szCs w:val="24"/>
        </w:rPr>
        <w:t>dijela godišnjeg izvještaja o izvršenju financijskog plana Nacionalne i sveučilišne knjižnice u Zagrebu (NSK) za 2023. godinu</w:t>
      </w:r>
    </w:p>
    <w:p w14:paraId="28ACA71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0293E19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E41764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UVOD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064672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6D530D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Nacionalna i sveučilišna knjižnica u Zagrebu (dalje: NSK) javna je ustanova od nacionalnog značenja koja obavlja knjižničnu i informacijsku djelatnost nacionalne knjižnice Republike Hrvatske i središnje knjižnice Sveučilišta u Zagrebu, kao i znanstvenoistraživačku i razvojnu djelatnost radi unaprjeđivanja hrvatskog knjižničarstva te izgradnje i razvoja knjižničnog sustava Republike Hrvatske. Uzimajući u obzir navedene zadaće, NSK je jedna od najznačajnijih javnih ustanova u Republici Hrvatskoj. Programska djelatnost NSK složenija je od programskih djelatnosti drugih ustanova upravo zbog egzistiranja navedene dvojne uloge. Djelatnost NSK također obuhvaća kontinuirano izvršavanje projekata kojima nastoji pratiti razvoj i napredak svoje djelatnosti, kako u pogledu nacionalne, tako i u pogledu sveučilišne funkcije. K tomu, po objema svojim funkcijama, NSK je obvezna razvijati i unapređivati i druge hrvatske knjižnice, kao i graditi i razvijati hrvatski knjižnični sustav, odnosno knjižnični sustav Sveučilišta u Zagrebu i drugih hrvatskih sveučilišta. </w:t>
      </w:r>
    </w:p>
    <w:p w14:paraId="0BBF3F0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42E2061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NSK obimom svoje djelatnosti nadilazi sektorsku podjelu (na kulturu, obrazovanje i znanost), jer su neki njezini programi u funkciji i kulture i znanosti i obrazovanja. Oni su u pravom smislu programi i projekti na nacionalnoj te internacionalnoj razini, a kao takvi zahtijevaju odgovarajuću financijsku podršku. Uz programsku specifičnost NSK, jedinstvenu u Hrvatskoj, valja istaknuti kako je podignut značaj zgrade NSK obzirom na obavljanje aktivnosti u novom dijelu zgrade, utemeljeno na odlukama Vlade Republike Hrvatske. Povećana površina znači i povećane potrebe kad je riječ o materijalnim rashodima kako što se tiče zaposlenika tako i održavanja zgrade.</w:t>
      </w:r>
    </w:p>
    <w:p w14:paraId="740FDD84" w14:textId="77777777" w:rsidR="00150DF4" w:rsidRPr="009972E1" w:rsidRDefault="00150DF4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Slijedom navedenog </w:t>
      </w:r>
      <w:r w:rsidR="00390455" w:rsidRPr="009972E1">
        <w:rPr>
          <w:rFonts w:eastAsia="Times New Roman" w:cs="Times New Roman"/>
          <w:sz w:val="24"/>
          <w:szCs w:val="24"/>
          <w:lang w:eastAsia="hr-HR"/>
        </w:rPr>
        <w:t xml:space="preserve">proračunske </w:t>
      </w:r>
      <w:r w:rsidRPr="009972E1">
        <w:rPr>
          <w:rFonts w:eastAsia="Times New Roman" w:cs="Times New Roman"/>
          <w:sz w:val="24"/>
          <w:szCs w:val="24"/>
          <w:lang w:eastAsia="hr-HR"/>
        </w:rPr>
        <w:t>aktivnosti A622017 Administracija i upravljanje NSK, A622134 Administracija i upravljanje NSK (iz evidencijskih prihoda), A622131 Nabava inozemnih znanstvenih časopisa i K622116 Knjige, umjetnička djela i ostale izložbene vrijednosti</w:t>
      </w:r>
      <w:r w:rsidR="00390455" w:rsidRPr="009972E1">
        <w:rPr>
          <w:rFonts w:eastAsia="Times New Roman" w:cs="Times New Roman"/>
          <w:sz w:val="24"/>
          <w:szCs w:val="24"/>
          <w:lang w:eastAsia="hr-HR"/>
        </w:rPr>
        <w:t xml:space="preserve"> su sadržane u svojim ciljevima i pokazateljima u okviru </w:t>
      </w:r>
      <w:r w:rsidR="00422B41" w:rsidRPr="009972E1">
        <w:rPr>
          <w:rFonts w:eastAsia="Times New Roman" w:cs="Times New Roman"/>
          <w:sz w:val="24"/>
          <w:szCs w:val="24"/>
          <w:lang w:eastAsia="hr-HR"/>
        </w:rPr>
        <w:t>programa</w:t>
      </w:r>
      <w:r w:rsidR="00D4430E" w:rsidRPr="009972E1">
        <w:rPr>
          <w:rFonts w:eastAsia="Times New Roman" w:cs="Times New Roman"/>
          <w:sz w:val="24"/>
          <w:szCs w:val="24"/>
          <w:lang w:eastAsia="hr-HR"/>
        </w:rPr>
        <w:t>:</w:t>
      </w:r>
    </w:p>
    <w:p w14:paraId="1FB21042" w14:textId="77777777" w:rsidR="00E91512" w:rsidRPr="009972E1" w:rsidRDefault="00E915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0D267ED5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1. Izgradnja nacionalnog fonda: Zbirka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Croatica</w:t>
      </w:r>
      <w:proofErr w:type="spellEnd"/>
    </w:p>
    <w:p w14:paraId="18DC7677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2. Izgradnja i razvoj fondova posebnih zbirki</w:t>
      </w:r>
    </w:p>
    <w:p w14:paraId="5CB978D6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3. Obrada građe</w:t>
      </w:r>
    </w:p>
    <w:p w14:paraId="525DA021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4. Izrada nacionalne bibliografije (tekuće i retrospektivne) </w:t>
      </w:r>
    </w:p>
    <w:p w14:paraId="6CD4EB86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5. Zaštita građe</w:t>
      </w:r>
    </w:p>
    <w:p w14:paraId="3F5C7635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6. Sveučilišni program</w:t>
      </w:r>
    </w:p>
    <w:p w14:paraId="592F92EA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7. Istraživanje i razvoj</w:t>
      </w:r>
    </w:p>
    <w:p w14:paraId="1123F5AD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8. Stalno stručno usavršavanje knjižničara u RH</w:t>
      </w:r>
    </w:p>
    <w:p w14:paraId="2B949915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9. Međunarodna suradnja</w:t>
      </w:r>
    </w:p>
    <w:p w14:paraId="7EC18D0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lastRenderedPageBreak/>
        <w:t> </w:t>
      </w:r>
    </w:p>
    <w:p w14:paraId="624CFE11" w14:textId="77777777" w:rsidR="00AC77AB" w:rsidRPr="009972E1" w:rsidRDefault="00E91512" w:rsidP="00AC77AB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Proračunska a</w:t>
      </w:r>
      <w:r w:rsidR="00AC77AB" w:rsidRPr="009972E1">
        <w:rPr>
          <w:rFonts w:eastAsia="Times New Roman" w:cs="Times New Roman"/>
          <w:sz w:val="24"/>
          <w:szCs w:val="24"/>
          <w:lang w:eastAsia="hr-HR"/>
        </w:rPr>
        <w:t>ktivnost K622147 Projekt e-Sveučilišta – NPOO (C.3.1. R2-I1) izvršila se samo u dijelu rashoda za zaposlene.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Proračunska a</w:t>
      </w:r>
      <w:r w:rsidR="00AC77AB" w:rsidRPr="009972E1">
        <w:rPr>
          <w:rFonts w:eastAsia="Times New Roman" w:cs="Times New Roman"/>
          <w:sz w:val="24"/>
          <w:szCs w:val="24"/>
          <w:lang w:eastAsia="hr-HR"/>
        </w:rPr>
        <w:t>ktivnost A622145 Pravomoćne sudske presude izvršila</w:t>
      </w:r>
      <w:r w:rsidR="00B040DB" w:rsidRPr="009972E1">
        <w:rPr>
          <w:rFonts w:eastAsia="Times New Roman" w:cs="Times New Roman"/>
          <w:sz w:val="24"/>
          <w:szCs w:val="24"/>
          <w:lang w:eastAsia="hr-HR"/>
        </w:rPr>
        <w:t xml:space="preserve"> se</w:t>
      </w:r>
      <w:r w:rsidR="00AC77AB" w:rsidRPr="009972E1">
        <w:rPr>
          <w:rFonts w:eastAsia="Times New Roman" w:cs="Times New Roman"/>
          <w:sz w:val="24"/>
          <w:szCs w:val="24"/>
          <w:lang w:eastAsia="hr-HR"/>
        </w:rPr>
        <w:t xml:space="preserve"> po broju pristiglih pravomoćnih presuda.</w:t>
      </w:r>
    </w:p>
    <w:p w14:paraId="3EBBC3FE" w14:textId="77777777" w:rsidR="00217F6D" w:rsidRPr="009972E1" w:rsidRDefault="00217F6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445ABDB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U nastavku se nalazi pregled programa NSK usklađenih s pokazateljima iz Izvješća o radu NSK za 2021. te nastavnih na Strategiju razvoja NSK do 2026.godine., Strategiju obrazovanja, znanosti i tehnologije i Strateški plan Ministarstva znanosti i obrazovanja za razdoblje 2020. 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–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2022. te Strateški plan Ministarstva kulture i medija 2020. 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–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2022. </w:t>
      </w:r>
    </w:p>
    <w:p w14:paraId="682DED06" w14:textId="77777777" w:rsidR="009C4520" w:rsidRPr="009972E1" w:rsidRDefault="009C4520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44EAF890" w14:textId="77777777" w:rsidR="008431FE" w:rsidRPr="009972E1" w:rsidRDefault="00446612" w:rsidP="00EB038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 </w:t>
      </w:r>
    </w:p>
    <w:p w14:paraId="054E900C" w14:textId="77777777" w:rsidR="00446612" w:rsidRPr="009972E1" w:rsidRDefault="00446612" w:rsidP="00446612">
      <w:pPr>
        <w:jc w:val="center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PROGRAMI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1F8C6C5" w14:textId="77777777" w:rsidR="008431FE" w:rsidRPr="009972E1" w:rsidRDefault="008431FE" w:rsidP="008431FE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2FEE4610" w14:textId="77777777" w:rsidR="00446612" w:rsidRPr="009972E1" w:rsidRDefault="008431FE" w:rsidP="008431FE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Cs/>
          <w:sz w:val="24"/>
          <w:szCs w:val="24"/>
          <w:lang w:eastAsia="hr-HR"/>
        </w:rPr>
        <w:t>Napomena: Ciljane vrijednosti za 2023.</w:t>
      </w:r>
      <w:r w:rsidR="00AD19AD" w:rsidRPr="009972E1">
        <w:rPr>
          <w:rFonts w:eastAsia="Times New Roman" w:cs="Times New Roman"/>
          <w:bCs/>
          <w:sz w:val="24"/>
          <w:szCs w:val="24"/>
          <w:lang w:eastAsia="hr-HR"/>
        </w:rPr>
        <w:t xml:space="preserve"> godinu </w:t>
      </w:r>
      <w:r w:rsidRPr="009972E1">
        <w:rPr>
          <w:rFonts w:eastAsia="Times New Roman" w:cs="Times New Roman"/>
          <w:bCs/>
          <w:sz w:val="24"/>
          <w:szCs w:val="24"/>
          <w:lang w:eastAsia="hr-HR"/>
        </w:rPr>
        <w:t>daju porast u odnosu na prethodnu godinu</w:t>
      </w:r>
      <w:r w:rsidR="000F0F8D" w:rsidRPr="009972E1">
        <w:rPr>
          <w:rFonts w:eastAsia="Times New Roman" w:cs="Times New Roman"/>
          <w:bCs/>
          <w:sz w:val="24"/>
          <w:szCs w:val="24"/>
          <w:lang w:eastAsia="hr-HR"/>
        </w:rPr>
        <w:t>,</w:t>
      </w:r>
      <w:r w:rsidRPr="009972E1">
        <w:rPr>
          <w:rFonts w:eastAsia="Times New Roman" w:cs="Times New Roman"/>
          <w:bCs/>
          <w:sz w:val="24"/>
          <w:szCs w:val="24"/>
          <w:lang w:eastAsia="hr-HR"/>
        </w:rPr>
        <w:t xml:space="preserve"> a ne na polaznu.</w:t>
      </w:r>
      <w:r w:rsidR="00446612" w:rsidRPr="009972E1">
        <w:rPr>
          <w:rFonts w:eastAsia="Times New Roman" w:cs="Times New Roman"/>
          <w:bCs/>
          <w:sz w:val="24"/>
          <w:szCs w:val="24"/>
          <w:lang w:eastAsia="hr-HR"/>
        </w:rPr>
        <w:t> </w:t>
      </w:r>
      <w:r w:rsidR="00446612"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302AD20" w14:textId="77777777" w:rsidR="0065591C" w:rsidRPr="009972E1" w:rsidRDefault="0065591C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78B8923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BCF4AC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NAZIV PROGRAMA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A73E69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B62213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1 Izgradnja nacionalnog fonda: Zbirka </w:t>
      </w:r>
      <w:proofErr w:type="spellStart"/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Croatica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EA05C0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8F80CE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F12E96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Program obuhvaća sustavno prikupljanje svih hrvatskih publikacija u svim analognim i digitalnim pojavnostima. Osim publikacija objavljenih u Hrvatskoj (obvezni primjerak) nabavljaju se publikacije hrvatskih autora, na hrvatskom jeziku i publikacije o Hrvatskoj objavljene u inozemstvu. Tako se osigurava cjelovitost i potpunost nacionalne zbirke/hrvatske pisane (objavljene) kulturne i znanstvene baštine. Nacionalna zbirka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Croatica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je temelj za izradu hrvatske tekuće bibliografije i osiguravanje dostupa znanju i hrvatskoj kulturi. </w:t>
      </w:r>
    </w:p>
    <w:p w14:paraId="73901FC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7B1F101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1B85E2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djelatnosti, Statut NSK, Pravilnik o obveznom primjerku, Strategija razvoja NSK do 2026. godine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901C3E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63C47F5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-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Strateškim planom Ministarstva kulture i medija 2020.- 2022.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456A02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2. Zaštićena i očuvana kulturna baština </w:t>
      </w:r>
    </w:p>
    <w:p w14:paraId="0A49ABD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752242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540FBB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Priljev obveznog primjerka u svim analognim i digitalnim pojavnostima u godinama plana ovisit će o nakladničkoj produkciji u Republici Hrvatskoj te o učinkovitom nadzoru nakladničke djelatnosti  temeljem identifikacijskih oznaka i katalogizacije u publikaciji.  </w:t>
      </w:r>
    </w:p>
    <w:p w14:paraId="1904E99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C81ADA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CILJEVI PROVEDBE PROGRAMA U 2023.</w:t>
      </w:r>
      <w:r w:rsidR="002B7A88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</w:t>
      </w:r>
      <w:r w:rsidR="00CE32DA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5EFC62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A924C0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97C157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Osiguranje cjelovitosti zbirke hrvatske kulturne i znanstvene pisane/objavljene baštine. </w:t>
      </w:r>
    </w:p>
    <w:p w14:paraId="28505D69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E1C3D44" w14:textId="77777777" w:rsidR="00A175A0" w:rsidRPr="009972E1" w:rsidRDefault="00A175A0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0C67356B" w14:textId="77777777" w:rsidR="00D7220B" w:rsidRDefault="00D7220B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6E7909EF" w14:textId="77777777" w:rsidR="00D7220B" w:rsidRDefault="00D7220B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347EFB4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67AAA8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Kontinuirano prikupljati nacionalni fond radi osiguranja cjelovitosti zbirke hrvatske kulturne i znanstvene pisane/objavljene baštine. </w:t>
      </w:r>
    </w:p>
    <w:p w14:paraId="2AED182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4C41D21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29E6516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4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355"/>
        <w:gridCol w:w="1191"/>
        <w:gridCol w:w="1355"/>
        <w:gridCol w:w="1233"/>
        <w:gridCol w:w="1277"/>
        <w:gridCol w:w="1666"/>
      </w:tblGrid>
      <w:tr w:rsidR="00146FB5" w:rsidRPr="009972E1" w14:paraId="499F14B4" w14:textId="77777777" w:rsidTr="00BA5B84">
        <w:trPr>
          <w:trHeight w:val="671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98DEA0" w14:textId="77777777" w:rsidR="00146FB5" w:rsidRPr="009972E1" w:rsidRDefault="00146FB5" w:rsidP="00EB5B6B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16D9B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F67FBE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F6AD9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7B02EF6E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83EAE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796C74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296C6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 w:rsidR="00D7220B"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5B207C89" w14:textId="77777777" w:rsidTr="00BA5B84">
        <w:trPr>
          <w:trHeight w:val="83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EA1102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Cjelovitost zbirke 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9B6ED8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Obvezni primjerak 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F80459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 pristigle građe 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CBA6CB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80%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CA9921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616998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85%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1CC78F" w14:textId="77777777" w:rsidR="00146FB5" w:rsidRPr="009972E1" w:rsidRDefault="007C710A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85%</w:t>
            </w:r>
          </w:p>
        </w:tc>
      </w:tr>
    </w:tbl>
    <w:p w14:paraId="0856677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5CC15F2" w14:textId="77777777" w:rsidR="008431FE" w:rsidRPr="009972E1" w:rsidRDefault="008431FE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3172DD53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EA18F19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4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379"/>
        <w:gridCol w:w="1645"/>
        <w:gridCol w:w="1210"/>
        <w:gridCol w:w="1312"/>
        <w:gridCol w:w="1078"/>
        <w:gridCol w:w="1403"/>
      </w:tblGrid>
      <w:tr w:rsidR="00146FB5" w:rsidRPr="009972E1" w14:paraId="6DA70262" w14:textId="77777777" w:rsidTr="00BA5B84"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B72A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6AF9F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5400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75C2E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 </w:t>
            </w:r>
          </w:p>
          <w:p w14:paraId="12C1FB0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C7BB2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643DF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AAC76" w14:textId="77777777" w:rsidR="00146FB5" w:rsidRPr="009972E1" w:rsidRDefault="00AA15D6" w:rsidP="00AA15D6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76631D5B" w14:textId="77777777" w:rsidTr="00BA5B84"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13496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Obvezni primjerak – knjige (tiskane)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F50D7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Prema Zakonu o knjižnicama i knjižničnoj djelatnosti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11E4B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primjerak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04F1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13.863 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66327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Izvješće o radu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BD42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15.000 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6C7FD" w14:textId="77777777" w:rsidR="00146FB5" w:rsidRPr="009972E1" w:rsidRDefault="00587671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14.254</w:t>
            </w:r>
          </w:p>
        </w:tc>
      </w:tr>
      <w:tr w:rsidR="00146FB5" w:rsidRPr="009972E1" w14:paraId="6160D5E7" w14:textId="77777777" w:rsidTr="00BA5B84">
        <w:trPr>
          <w:trHeight w:val="84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6A3434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618A61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67CC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ED104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6E3B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AAAE7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108%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49E11" w14:textId="77777777" w:rsidR="00146FB5" w:rsidRPr="009972E1" w:rsidRDefault="00F22B3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95%</w:t>
            </w:r>
          </w:p>
        </w:tc>
      </w:tr>
      <w:tr w:rsidR="00146FB5" w:rsidRPr="009972E1" w14:paraId="5C05C162" w14:textId="77777777" w:rsidTr="00BA5B84">
        <w:trPr>
          <w:trHeight w:val="406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FAF60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Obvezni primjerak – (e-knjiga)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E4994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Prema Zakonu o knjižnicama i knjižničnoj djelatnosti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9B271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  <w:p w14:paraId="5FDF86A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primjerak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E445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477 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1490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Sustav statističkih podataka u knjižnicama (NSK)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EB4F9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800 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8F041" w14:textId="77777777" w:rsidR="00146FB5" w:rsidRPr="009972E1" w:rsidRDefault="00587671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382</w:t>
            </w:r>
          </w:p>
        </w:tc>
      </w:tr>
      <w:tr w:rsidR="00146FB5" w:rsidRPr="009972E1" w14:paraId="627EFF3B" w14:textId="77777777" w:rsidTr="00BA5B84">
        <w:trPr>
          <w:trHeight w:val="79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D8A949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E349D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3607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E7AB8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ABA01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AB5C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168%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D72EF" w14:textId="77777777" w:rsidR="00146FB5" w:rsidRPr="009972E1" w:rsidRDefault="00F22B3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48%</w:t>
            </w:r>
          </w:p>
        </w:tc>
      </w:tr>
      <w:tr w:rsidR="00146FB5" w:rsidRPr="009972E1" w14:paraId="26B77929" w14:textId="77777777" w:rsidTr="00BA5B84"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12746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Obvezni primjerak – serijske publikacije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08FBA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Prema Zakonu o knjižnicama i knjižničnoj djelatnosti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A9D8E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sveščić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3F7F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31.582 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7C2F2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 Izvješće o radu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2980A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32.000  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A2558" w14:textId="77777777" w:rsidR="00146FB5" w:rsidRPr="009972E1" w:rsidRDefault="00587671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26.027</w:t>
            </w:r>
          </w:p>
        </w:tc>
      </w:tr>
      <w:tr w:rsidR="00146FB5" w:rsidRPr="009972E1" w14:paraId="4208E90E" w14:textId="77777777" w:rsidTr="00BA5B84">
        <w:trPr>
          <w:trHeight w:val="79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AFEBB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2B2C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2752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6589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50EAB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48B31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A4514" w14:textId="77777777" w:rsidR="00146FB5" w:rsidRPr="009972E1" w:rsidRDefault="00F22B3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81%</w:t>
            </w:r>
          </w:p>
        </w:tc>
      </w:tr>
      <w:tr w:rsidR="00146FB5" w:rsidRPr="009972E1" w14:paraId="1D853062" w14:textId="77777777" w:rsidTr="00BA5B84">
        <w:trPr>
          <w:trHeight w:val="406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1A14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Obvezni primjerak – e-serijske publikacije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F5809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Prema Zakonu o knjižnicama i knjižničnoj djelatnosti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53835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sveščić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3648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1.876 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4251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Sustav statističkih podataka u knjižnicama (NSK)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5F0CD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2.000 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6958" w14:textId="77777777" w:rsidR="00146FB5" w:rsidRPr="009972E1" w:rsidRDefault="00587671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1.396</w:t>
            </w:r>
          </w:p>
        </w:tc>
      </w:tr>
      <w:tr w:rsidR="00146FB5" w:rsidRPr="009972E1" w14:paraId="34E1B65D" w14:textId="77777777" w:rsidTr="00BA5B84">
        <w:trPr>
          <w:trHeight w:val="84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DEA2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2CD01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3871E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6797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1DCBA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1B8DB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107%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814C6" w14:textId="77777777" w:rsidR="00146FB5" w:rsidRPr="009972E1" w:rsidRDefault="00F22B3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70%</w:t>
            </w:r>
          </w:p>
        </w:tc>
      </w:tr>
      <w:tr w:rsidR="00146FB5" w:rsidRPr="009972E1" w14:paraId="55AA7DE1" w14:textId="77777777" w:rsidTr="00BA5B84"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1DDDB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Obvezni primjerak – sitni tisak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D047D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Prema Zakonu o knjižnicama </w:t>
            </w:r>
          </w:p>
          <w:p w14:paraId="7761EFE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 knjižničnoj djelatnosti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3E66F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sveščić/svezak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00BB9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859 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2A647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 Izvješće o radu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5DA97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1.000 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B8002" w14:textId="77777777" w:rsidR="00146FB5" w:rsidRPr="009972E1" w:rsidRDefault="00587671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967</w:t>
            </w:r>
          </w:p>
        </w:tc>
      </w:tr>
      <w:tr w:rsidR="00146FB5" w:rsidRPr="009972E1" w14:paraId="154B3124" w14:textId="77777777" w:rsidTr="00BA5B84">
        <w:trPr>
          <w:trHeight w:val="79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AC009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EC71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48A654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1D0B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50BB0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24888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116%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6CD34" w14:textId="77777777" w:rsidR="00146FB5" w:rsidRPr="009972E1" w:rsidRDefault="00F22B3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97%</w:t>
            </w:r>
          </w:p>
        </w:tc>
      </w:tr>
      <w:tr w:rsidR="00146FB5" w:rsidRPr="009972E1" w14:paraId="4A7E7420" w14:textId="77777777" w:rsidTr="00BA5B84">
        <w:trPr>
          <w:trHeight w:val="486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8DF1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Obvezni primjerak -mrežne stranice (integrirajuća građa)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841561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Prema Zakonu o knjižnicama i knjižničnoj djelatnosti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50CC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primjerak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37C16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9.481 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34C1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Sustav statističkih podataka u knjižnicama (NSK)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8B90C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9.600 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E34DB" w14:textId="77777777" w:rsidR="00146FB5" w:rsidRPr="009972E1" w:rsidRDefault="00587671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8.038</w:t>
            </w:r>
          </w:p>
        </w:tc>
      </w:tr>
      <w:tr w:rsidR="00146FB5" w:rsidRPr="009972E1" w14:paraId="4B20CA41" w14:textId="77777777" w:rsidTr="00BA5B84">
        <w:trPr>
          <w:trHeight w:val="84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39BCC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0CED3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F57B2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239C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E1F3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1529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AF048" w14:textId="77777777" w:rsidR="00146FB5" w:rsidRPr="009972E1" w:rsidRDefault="00F22B3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84%</w:t>
            </w:r>
          </w:p>
        </w:tc>
      </w:tr>
      <w:tr w:rsidR="00146FB5" w:rsidRPr="009972E1" w14:paraId="1955DE48" w14:textId="77777777" w:rsidTr="00BA5B84"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FC001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Nabava građe (kupnja) za opće i posebne fondove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9D7D4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Statut NSK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DCDD3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naslov/ primjerak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1F9CE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426 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D3825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 Izvješće o radu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3B37F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450 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BDDDC36" w14:textId="77777777" w:rsidR="00146FB5" w:rsidRPr="009972E1" w:rsidRDefault="00587671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407</w:t>
            </w:r>
          </w:p>
        </w:tc>
      </w:tr>
      <w:tr w:rsidR="00146FB5" w:rsidRPr="009972E1" w14:paraId="0490A2DC" w14:textId="77777777" w:rsidTr="00BA5B84">
        <w:trPr>
          <w:trHeight w:val="84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3D41C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105B8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94691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916F4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66C64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D1FA5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106%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7EE129" w14:textId="77777777" w:rsidR="00146FB5" w:rsidRPr="009972E1" w:rsidRDefault="00F22B3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90%</w:t>
            </w:r>
          </w:p>
        </w:tc>
      </w:tr>
    </w:tbl>
    <w:p w14:paraId="3BC497E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0046BC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4A7C2F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2EEE8A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2611AF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2 Izgradnja i razvoj fondova posebnih zbirki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254B27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color w:val="FF0000"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color w:val="FF0000"/>
          <w:sz w:val="24"/>
          <w:szCs w:val="24"/>
          <w:lang w:eastAsia="hr-HR"/>
        </w:rPr>
        <w:t> </w:t>
      </w:r>
    </w:p>
    <w:p w14:paraId="364FBB0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BC5D05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Nabavom rukopisa, starih knjiga, grafika, crteža, razglednica, plakata, zemljopisnih karata i atlasa te muzikalija i glazbene zvučne građe NSK povećava svoj ukupni fond čime se proširuje mogućnost dostupnosti korisnicima i tog važnog dijela hrvatske kulturne baštine. </w:t>
      </w:r>
    </w:p>
    <w:p w14:paraId="5ED624D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85055B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CF6741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Zakon o knjižnicama i knjižničnoj djelatnosti, Zakon o muzejima, Statut NSK, Strategija razvoja NSK do 2026. godine. 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5CFE82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408EAB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652064A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-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Strateškim planom Ministarstva kulture i medija 2020. 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6C38C5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1. Razvoj kulturnog i umjetničkog stvaralaštva i proizvodnje </w:t>
      </w:r>
    </w:p>
    <w:p w14:paraId="36EC3F6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2. Zaštićena i očuvana kulturna baština </w:t>
      </w:r>
    </w:p>
    <w:p w14:paraId="2049ED3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F1D84A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A76232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Nabava, obrada, digitalizacija, izložbena djelatnost, nakladnička djelatnost i promidžba. </w:t>
      </w:r>
    </w:p>
    <w:p w14:paraId="612F630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1F64DB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CILJEVI PROVEDBE PROGRAMA U 2023.</w:t>
      </w:r>
      <w:r w:rsidR="00CE32DA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111623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2F0C87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A4869A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Cjelokupni fond zbirki građe posebne vrste učiniti dostupnim u svim materijalnim i digitalnim pojavnostima najširem krugu korisnika. </w:t>
      </w:r>
    </w:p>
    <w:p w14:paraId="570B253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1A02D4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8F6361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Kontinuiranim prikupljanjem i stručnom obradom cjelokupnog fonda zbirki građe posebne vrste te digitalizacijom učiniti ih dostupnim u Republici Hrvatskoj i svijetu čime se omogućava njihovo proučavanje u svrhu obrazovanja i znanosti. </w:t>
      </w:r>
    </w:p>
    <w:p w14:paraId="7885F1C2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598A4C6" w14:textId="77777777" w:rsidR="001F45AD" w:rsidRDefault="001F45A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0BF61F2B" w14:textId="77777777" w:rsidR="001F45AD" w:rsidRPr="009972E1" w:rsidRDefault="001F45A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7C1662EC" w14:textId="77777777" w:rsidR="00577CFE" w:rsidRDefault="00577CFE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1DE01AE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CF3331F" w14:textId="77777777" w:rsidR="00FC0916" w:rsidRPr="009972E1" w:rsidRDefault="00FC0916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437"/>
        <w:gridCol w:w="1117"/>
        <w:gridCol w:w="1342"/>
        <w:gridCol w:w="1221"/>
        <w:gridCol w:w="1263"/>
        <w:gridCol w:w="1645"/>
      </w:tblGrid>
      <w:tr w:rsidR="00146FB5" w:rsidRPr="009972E1" w14:paraId="73603A0F" w14:textId="77777777" w:rsidTr="00AA15D6">
        <w:trPr>
          <w:trHeight w:val="793"/>
        </w:trPr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FD0DF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0DCE8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B9701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0E8BE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011A23C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DBD46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11D7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84F2B7" w14:textId="77777777" w:rsidR="00146FB5" w:rsidRPr="009972E1" w:rsidRDefault="00AA15D6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3FFD09B6" w14:textId="77777777" w:rsidTr="00AA15D6">
        <w:trPr>
          <w:trHeight w:val="581"/>
        </w:trPr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A03AA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 povećanje fonda 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F6CD0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Dostupnost hrvatske kulturne baštine 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24F79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3A1D9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85% 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8EE2C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9DF45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B34222" w14:textId="77777777" w:rsidR="00146FB5" w:rsidRPr="009972E1" w:rsidRDefault="00A36E8B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114</w:t>
            </w:r>
            <w:r w:rsidR="003244B3"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</w:tbl>
    <w:p w14:paraId="696A728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3B82545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A7A9073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3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454"/>
        <w:gridCol w:w="1279"/>
        <w:gridCol w:w="1239"/>
        <w:gridCol w:w="1129"/>
        <w:gridCol w:w="1167"/>
        <w:gridCol w:w="1520"/>
      </w:tblGrid>
      <w:tr w:rsidR="00146FB5" w:rsidRPr="009972E1" w14:paraId="740EE80E" w14:textId="77777777" w:rsidTr="00FC0916">
        <w:trPr>
          <w:trHeight w:val="679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04511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7938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2A5E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2D02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1E67539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FE73E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B1AA5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E13082" w14:textId="77777777" w:rsidR="00146FB5" w:rsidRPr="009972E1" w:rsidRDefault="00D7220B" w:rsidP="00905C29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146FB5" w:rsidRPr="009972E1" w14:paraId="287C0295" w14:textId="77777777" w:rsidTr="00FC0916">
        <w:trPr>
          <w:trHeight w:val="453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9527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Rukopisi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CFF3C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Rukom pisana građa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88B91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rukopis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F33A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25 (pisama I. Lučića)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6DA92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FEC69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62450" w14:textId="77777777" w:rsidR="00146FB5" w:rsidRPr="009972E1" w:rsidRDefault="00BB26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146FB5" w:rsidRPr="009972E1" w14:paraId="79D7941B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7BC8C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D31C9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FBB41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382F2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765E8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15866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8%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1D23F6B" w14:textId="77777777" w:rsidR="00146FB5" w:rsidRPr="009972E1" w:rsidRDefault="00BB26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  <w:tr w:rsidR="00146FB5" w:rsidRPr="009972E1" w14:paraId="78957D2A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59BE6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Stara knjiga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EA6A3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Knjiga tiskana do 1850. ručnim tehnikama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FA3A1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primjerak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936A5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6320E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16E6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E37F" w14:textId="77777777" w:rsidR="00146FB5" w:rsidRPr="009972E1" w:rsidRDefault="00BB26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146FB5" w:rsidRPr="009972E1" w14:paraId="42DF5070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EFA22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842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344E1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A3EA5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1273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29D77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50%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B1D49" w14:textId="77777777" w:rsidR="00146FB5" w:rsidRPr="009972E1" w:rsidRDefault="00BB26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200%</w:t>
            </w:r>
          </w:p>
        </w:tc>
      </w:tr>
      <w:tr w:rsidR="00146FB5" w:rsidRPr="009972E1" w14:paraId="53A8CF2B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1DA724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Inkunabula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A1CA5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Knjiga tiskana do 1500.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DD847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primjerak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30916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477FD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FA63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80FF4" w14:textId="77777777" w:rsidR="00146FB5" w:rsidRPr="009972E1" w:rsidRDefault="003244B3" w:rsidP="00146FB5">
            <w:pPr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146FB5" w:rsidRPr="009972E1" w14:paraId="3D916365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20820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2A405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F2D04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2CEDA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568C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03BC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1492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146FB5" w:rsidRPr="009972E1" w14:paraId="586D3239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9EF2E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Glazbena  </w:t>
            </w:r>
          </w:p>
          <w:p w14:paraId="25DA7B1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građa 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B1DB8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Medij koji sadržava glazbu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3FBBA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primjerak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E1DC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1001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9932A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394F7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800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977FF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876</w:t>
            </w:r>
          </w:p>
        </w:tc>
      </w:tr>
      <w:tr w:rsidR="00146FB5" w:rsidRPr="009972E1" w14:paraId="3A396199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2CA49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B27C8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5F70A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71800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49395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29FCF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80%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BB19B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110%</w:t>
            </w:r>
          </w:p>
        </w:tc>
      </w:tr>
      <w:tr w:rsidR="00146FB5" w:rsidRPr="009972E1" w14:paraId="687C501C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61FFB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Notna građa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9B5D0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Tiskane i rukopisne note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4DB28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primjerak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7F4F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177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C5E9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6E5E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200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DED10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443</w:t>
            </w:r>
          </w:p>
        </w:tc>
      </w:tr>
      <w:tr w:rsidR="00146FB5" w:rsidRPr="009972E1" w14:paraId="514A1770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1A1F1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274B7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86B7B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3F82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92A01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14829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113%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3052A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222%</w:t>
            </w:r>
          </w:p>
        </w:tc>
      </w:tr>
      <w:tr w:rsidR="00146FB5" w:rsidRPr="009972E1" w14:paraId="52A68038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72153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Vizualna građa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A44CD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Crteži, grafike, plakati…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24FC51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primjerak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F0A74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292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F738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0F657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250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58B1B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116</w:t>
            </w:r>
          </w:p>
        </w:tc>
      </w:tr>
      <w:tr w:rsidR="00146FB5" w:rsidRPr="009972E1" w14:paraId="6E28C6B3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91D66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DA58F9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942D7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A0DC0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25385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EED52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86%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4A69E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46%</w:t>
            </w:r>
          </w:p>
        </w:tc>
      </w:tr>
      <w:tr w:rsidR="00146FB5" w:rsidRPr="009972E1" w14:paraId="4CDBCEFE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5BAFE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Kartografska građa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78C3F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Zemljopisne karte, atlasi…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03467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listovi i svesci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2BAE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149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B976A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08D8C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00711F6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150</w:t>
            </w:r>
          </w:p>
          <w:p w14:paraId="0ECEE62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F676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159</w:t>
            </w:r>
          </w:p>
        </w:tc>
      </w:tr>
      <w:tr w:rsidR="00146FB5" w:rsidRPr="009972E1" w14:paraId="1AEE772A" w14:textId="77777777" w:rsidTr="00FC0916">
        <w:trPr>
          <w:trHeight w:val="407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A0B85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CD678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0A8D0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1023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4F96B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56631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</w:t>
            </w:r>
          </w:p>
          <w:p w14:paraId="07245D6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0D094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106%</w:t>
            </w:r>
          </w:p>
        </w:tc>
      </w:tr>
    </w:tbl>
    <w:p w14:paraId="495E3EFA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FA2E9EB" w14:textId="77777777" w:rsidR="001F45AD" w:rsidRDefault="001F45A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67F4A1D4" w14:textId="77777777" w:rsidR="001F45AD" w:rsidRDefault="001F45A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2EF12A78" w14:textId="77777777" w:rsidR="001F45AD" w:rsidRDefault="001F45A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74F6F902" w14:textId="77777777" w:rsidR="001F45AD" w:rsidRDefault="001F45A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41BBC381" w14:textId="77777777" w:rsidR="001F45AD" w:rsidRPr="009972E1" w:rsidRDefault="001F45A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5B47F66A" w14:textId="77777777" w:rsidR="0085333B" w:rsidRDefault="0085333B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72C5367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2C6898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5960ED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3 Obrada građe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8C3A33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45A85A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FC5078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Program obuhvaća sadržajnu i deskriptivnu katalogizaciju, kao i normativni nadzor fonda NSK. </w:t>
      </w:r>
    </w:p>
    <w:p w14:paraId="74BE3C3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1195ED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558ACB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i 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Statut NSK, Strategija razvoja NSK do 2026. godine. 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5E5871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417C958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-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Strateškim planom Ministarstva kulture i medija 2020.- 2022.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3817F3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1. Razvoj kulturnog i umjetničkog stvaralaštva i proizvodnje </w:t>
      </w:r>
    </w:p>
    <w:p w14:paraId="79FB122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FF4A84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7E88F8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Ažurna obrada građe prema međunarodnim normama. </w:t>
      </w:r>
    </w:p>
    <w:p w14:paraId="0FD6D87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03AACA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CILJEVI PROVEDBE PROGRAMA U 2023.</w:t>
      </w:r>
      <w:r w:rsidR="00AB1FBD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 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5FDC28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31CA2A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C9923A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Osigurati ažurnu obradu svih vrsta građe, utemeljenu na prihvaćenim normama. </w:t>
      </w:r>
    </w:p>
    <w:p w14:paraId="29F8C97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8554B8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B3FFCA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Ažurno obrađivati svu pristiglu građu radi osiguranja dostupnosti korisnicima. </w:t>
      </w:r>
    </w:p>
    <w:p w14:paraId="30CB3388" w14:textId="77777777" w:rsidR="003C33AC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</w:p>
    <w:p w14:paraId="7E84C517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689F7A5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069"/>
        <w:gridCol w:w="1020"/>
        <w:gridCol w:w="1225"/>
        <w:gridCol w:w="1115"/>
        <w:gridCol w:w="1154"/>
        <w:gridCol w:w="1502"/>
      </w:tblGrid>
      <w:tr w:rsidR="00146FB5" w:rsidRPr="009972E1" w14:paraId="757FF9E8" w14:textId="77777777" w:rsidTr="00FC0916">
        <w:trPr>
          <w:trHeight w:val="70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EE4B2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7268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1E352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E9FBC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486CB64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938A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1F325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BEF81" w14:textId="77777777" w:rsidR="00146FB5" w:rsidRPr="009972E1" w:rsidRDefault="00D51BA9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48FBDBF6" w14:textId="77777777" w:rsidTr="00FC0916">
        <w:trPr>
          <w:trHeight w:val="514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3358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 povećanja zapisa u kataloga NSK 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48C2B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Bibliografski i normativni  zapisi u online katalogu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630EC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3A740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832AC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0D118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522FB" w14:textId="5A4EDB89" w:rsidR="00146FB5" w:rsidRPr="009972E1" w:rsidRDefault="00287293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68%</w:t>
            </w:r>
          </w:p>
        </w:tc>
      </w:tr>
    </w:tbl>
    <w:p w14:paraId="013251F9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27F7CA0" w14:textId="77777777" w:rsidR="004A0F78" w:rsidRDefault="004A0F78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6FDCBE52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27E3DF9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2076"/>
        <w:gridCol w:w="993"/>
        <w:gridCol w:w="1192"/>
        <w:gridCol w:w="1085"/>
        <w:gridCol w:w="1123"/>
        <w:gridCol w:w="1462"/>
      </w:tblGrid>
      <w:tr w:rsidR="00AC2E66" w:rsidRPr="009972E1" w14:paraId="605FE9BF" w14:textId="77777777" w:rsidTr="004A0F78">
        <w:trPr>
          <w:trHeight w:val="727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C2D1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FA5E3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E325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DCECF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167BD1F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3C65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4C622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5F3422" w14:textId="77777777" w:rsidR="00146FB5" w:rsidRPr="009972E1" w:rsidRDefault="00D51BA9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AC2E66" w:rsidRPr="009972E1" w14:paraId="3D6FBD97" w14:textId="77777777" w:rsidTr="004A0F78">
        <w:trPr>
          <w:trHeight w:val="485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9725B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Obrada omeđene građe </w:t>
            </w:r>
          </w:p>
          <w:p w14:paraId="738EDBC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(svi mediji)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93777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Građa zamišljena kao cjelina, u jednom dijelu ili u konačnom broju dijelova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5B771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F452D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36.696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1A153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D7B8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36.700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9F1D8" w14:textId="77777777" w:rsidR="00146FB5" w:rsidRPr="009972E1" w:rsidRDefault="00DB3337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6F3A56">
              <w:rPr>
                <w:rFonts w:eastAsia="Times New Roman" w:cs="Times New Roman"/>
                <w:sz w:val="24"/>
                <w:szCs w:val="24"/>
                <w:lang w:eastAsia="hr-HR"/>
              </w:rPr>
              <w:t>9.387</w:t>
            </w:r>
          </w:p>
        </w:tc>
      </w:tr>
      <w:tr w:rsidR="00AC2E66" w:rsidRPr="009972E1" w14:paraId="2EC95437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C926B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%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DE3029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EA894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09D3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BB301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0297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4590E" w14:textId="776F0265" w:rsidR="00146FB5" w:rsidRPr="009972E1" w:rsidRDefault="00231BA3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26%</w:t>
            </w:r>
          </w:p>
        </w:tc>
      </w:tr>
      <w:tr w:rsidR="00AC2E66" w:rsidRPr="009972E1" w14:paraId="61AE0275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B08BA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Obrada serijskih publikacija (svi mediji)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E9B4E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Građa koja izlazi u uzastopnim dijelovima bez predviđenog kraja izlaženja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D968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146AA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4C1F5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5C5AC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650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340E9" w14:textId="77777777" w:rsidR="00146FB5" w:rsidRPr="009972E1" w:rsidRDefault="00C11577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547</w:t>
            </w:r>
          </w:p>
        </w:tc>
      </w:tr>
      <w:tr w:rsidR="00AC2E66" w:rsidRPr="009972E1" w14:paraId="42607FAE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A13E3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DC733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BBCB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C2E4B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CF11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A949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69%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34164" w14:textId="77777777" w:rsidR="00146FB5" w:rsidRPr="009972E1" w:rsidRDefault="00D24B0A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84%</w:t>
            </w:r>
          </w:p>
        </w:tc>
      </w:tr>
      <w:tr w:rsidR="00AC2E66" w:rsidRPr="009972E1" w14:paraId="1FB2CC99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0F14B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Obrada mrežne, integrirajuće građe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99CC6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Građa u digitalnom obliku dostupna na Internetu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42654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35206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141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29CD3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1915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135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092F5" w14:textId="77777777" w:rsidR="00146FB5" w:rsidRPr="009972E1" w:rsidRDefault="00C11577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98</w:t>
            </w:r>
          </w:p>
        </w:tc>
      </w:tr>
      <w:tr w:rsidR="00AC2E66" w:rsidRPr="009972E1" w14:paraId="09201D07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5FCC5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2F1FB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1725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EC8E4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1A503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8450C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96%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CCE38" w14:textId="77777777" w:rsidR="00146FB5" w:rsidRPr="009972E1" w:rsidRDefault="00D24B0A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73%</w:t>
            </w:r>
          </w:p>
        </w:tc>
      </w:tr>
      <w:tr w:rsidR="00AC2E66" w:rsidRPr="009972E1" w14:paraId="3CF60911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06517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Sadržajna obrada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70E7D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Predmetno označivanje i klasifikacijske oznake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7C507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26F7C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31.061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BBF4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E676B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5157C" w14:textId="77777777" w:rsidR="00146FB5" w:rsidRPr="009972E1" w:rsidRDefault="00C11577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6F3A56">
              <w:rPr>
                <w:rFonts w:eastAsia="Times New Roman" w:cs="Times New Roman"/>
                <w:sz w:val="24"/>
                <w:szCs w:val="24"/>
                <w:lang w:eastAsia="hr-HR"/>
              </w:rPr>
              <w:t>14.930</w:t>
            </w:r>
          </w:p>
        </w:tc>
      </w:tr>
      <w:tr w:rsidR="00AC2E66" w:rsidRPr="009972E1" w14:paraId="42B871F4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C6B4E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16F90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5D609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F0D8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C6758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8213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97%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0603A" w14:textId="5C1F226A" w:rsidR="00146FB5" w:rsidRPr="009972E1" w:rsidRDefault="00231BA3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50%</w:t>
            </w:r>
          </w:p>
        </w:tc>
      </w:tr>
      <w:tr w:rsidR="00AC2E66" w:rsidRPr="009972E1" w14:paraId="55A44A3B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F87229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Normativni nadzor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40648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Normativni  zapisi (ime, predmet, žanr)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5DCD3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966A9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19.896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849BF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613763" w14:textId="77777777" w:rsidR="00146FB5" w:rsidRPr="006F3A56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6F3A5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6C22E" w14:textId="2314A3BC" w:rsidR="00146FB5" w:rsidRPr="006F3A56" w:rsidRDefault="004E4997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6F3A56">
              <w:rPr>
                <w:rFonts w:eastAsia="Times New Roman" w:cs="Times New Roman"/>
                <w:sz w:val="24"/>
                <w:szCs w:val="24"/>
                <w:lang w:eastAsia="hr-HR"/>
              </w:rPr>
              <w:t>15.554</w:t>
            </w:r>
          </w:p>
        </w:tc>
      </w:tr>
      <w:tr w:rsidR="00AC2E66" w:rsidRPr="009972E1" w14:paraId="60AEF9E1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C0AC7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A48AA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67D81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A102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B40C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E0CF2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73814" w14:textId="6BDB512E" w:rsidR="00146FB5" w:rsidRPr="009972E1" w:rsidRDefault="00231BA3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78%</w:t>
            </w:r>
          </w:p>
        </w:tc>
      </w:tr>
      <w:tr w:rsidR="00AC2E66" w:rsidRPr="009972E1" w14:paraId="4198DD68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B529C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Digitalna građa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1130A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Digitalizirani rukopisi, stare knjige, inkunabule, glazbena i notna građa, vizualna građa, kartografska građa, stare novine i časopisi, ostalo (letci itd.), izvorno digitalna građa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463B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F13BC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19.129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8FA0F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1E920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5B54C" w14:textId="4004992E" w:rsidR="00146FB5" w:rsidRPr="009972E1" w:rsidRDefault="0062153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29.189</w:t>
            </w:r>
          </w:p>
        </w:tc>
      </w:tr>
      <w:tr w:rsidR="00AC2E66" w:rsidRPr="009972E1" w14:paraId="30E6F5E8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72AC7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4FD26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46E26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94DD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DCB7B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814D5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78%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1A6C0" w14:textId="6CB8B66B" w:rsidR="00146FB5" w:rsidRPr="009972E1" w:rsidRDefault="00F5510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</w:t>
            </w:r>
            <w:r w:rsidR="00231BA3">
              <w:rPr>
                <w:rFonts w:eastAsia="Times New Roman" w:cs="Times New Roman"/>
                <w:sz w:val="24"/>
                <w:szCs w:val="24"/>
                <w:lang w:eastAsia="hr-HR"/>
              </w:rPr>
              <w:t>95%</w:t>
            </w:r>
          </w:p>
        </w:tc>
      </w:tr>
    </w:tbl>
    <w:p w14:paraId="27749D2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FBE7D4C" w14:textId="77777777" w:rsidR="00577CFE" w:rsidRDefault="00577CFE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9D99E0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C9169E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color w:val="FF0000"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color w:val="FF0000"/>
          <w:sz w:val="24"/>
          <w:szCs w:val="24"/>
          <w:lang w:eastAsia="hr-HR"/>
        </w:rPr>
        <w:t> </w:t>
      </w:r>
    </w:p>
    <w:p w14:paraId="7199D06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4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Izrada nacionalne bibliografije (tekuće i retrospektivne)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4DD3D3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6821E3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8CD85B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Ažurna obrada i redovito objavljivanje te dopuna retrospektivne bibliografije radi njezina dovršetka. </w:t>
      </w:r>
    </w:p>
    <w:p w14:paraId="2F8F624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AB9D20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5BB0BA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i 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Statut NSK, Strategija razvoja NSK do 2026. godine 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3BB70A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28DD356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- 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Strateškim planom Ministarstva kulture i medija 2020. 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9563A2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1. Razvoj kulturnog i umjetničkog stvaralaštva i proizvodnje </w:t>
      </w:r>
    </w:p>
    <w:p w14:paraId="0C0201E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2. Zaštićena i očuvana kulturna baština </w:t>
      </w:r>
    </w:p>
    <w:p w14:paraId="440FA79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79C962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D38672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Ažurna izrada bibliografija. </w:t>
      </w:r>
    </w:p>
    <w:p w14:paraId="37D9091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1C3FC39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CILJEVI PROVEDBE PROGRAMA U </w:t>
      </w:r>
      <w:r w:rsidR="008D65BC">
        <w:rPr>
          <w:rFonts w:eastAsia="Times New Roman" w:cs="Times New Roman"/>
          <w:b/>
          <w:bCs/>
          <w:sz w:val="24"/>
          <w:szCs w:val="24"/>
          <w:lang w:eastAsia="hr-HR"/>
        </w:rPr>
        <w:t>2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023.</w:t>
      </w:r>
      <w:r w:rsidR="008D65BC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53ECC0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525D20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6F82EB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Izrađivati nacionalne bibliografije. </w:t>
      </w:r>
    </w:p>
    <w:p w14:paraId="2A23FA5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147C4B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9530DB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Izrađivati nacionalne bibliografije kao trajno evidentiranje hrvatske nacionalne baštine. </w:t>
      </w:r>
    </w:p>
    <w:p w14:paraId="02418F1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81AC045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54ECDEB" w14:textId="77777777" w:rsidR="00577CFE" w:rsidRPr="009972E1" w:rsidRDefault="00577CF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2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226"/>
        <w:gridCol w:w="1713"/>
        <w:gridCol w:w="1144"/>
        <w:gridCol w:w="1042"/>
        <w:gridCol w:w="1078"/>
        <w:gridCol w:w="1404"/>
      </w:tblGrid>
      <w:tr w:rsidR="00146FB5" w:rsidRPr="009972E1" w14:paraId="421D47E0" w14:textId="77777777" w:rsidTr="0012182B">
        <w:trPr>
          <w:trHeight w:val="731"/>
        </w:trPr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3E795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C2486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FDDD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CFA10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666194C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94C30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B84C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13223" w14:textId="77777777" w:rsidR="00146FB5" w:rsidRPr="009972E1" w:rsidRDefault="00D51BA9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70A70B08" w14:textId="77777777" w:rsidTr="0012182B">
        <w:trPr>
          <w:trHeight w:val="536"/>
        </w:trPr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5B2A39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Dokumentacija hrvatske kulturne baštine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6FC25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Sekundarni izvor za hrvatsku pisanu kulturnu baštinu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7F8AB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Sveobuhvatnost % 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F8E1F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01EB5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AE594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A499A5" w14:textId="77777777" w:rsidR="00146FB5" w:rsidRPr="009972E1" w:rsidRDefault="00753EC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100</w:t>
            </w:r>
            <w:r w:rsidR="00985748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</w:tbl>
    <w:p w14:paraId="535F25AB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4350364" w14:textId="77777777" w:rsidR="004A0F78" w:rsidRDefault="004A0F78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00CFC6E2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E0D7E61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619"/>
        <w:gridCol w:w="996"/>
        <w:gridCol w:w="1266"/>
        <w:gridCol w:w="1089"/>
        <w:gridCol w:w="1127"/>
        <w:gridCol w:w="1467"/>
      </w:tblGrid>
      <w:tr w:rsidR="00146FB5" w:rsidRPr="009972E1" w14:paraId="17FFE55B" w14:textId="77777777" w:rsidTr="004A0F78">
        <w:trPr>
          <w:trHeight w:val="67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6248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A3694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B227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5D5E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 </w:t>
            </w:r>
          </w:p>
          <w:p w14:paraId="765B818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572A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8D7E9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3F1B1D" w14:textId="77777777" w:rsidR="00146FB5" w:rsidRPr="009972E1" w:rsidRDefault="00D51BA9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171E9827" w14:textId="77777777" w:rsidTr="004A0F78">
        <w:trPr>
          <w:trHeight w:val="45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0E81E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Tekuća bibliografija – Niz A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9ACE2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Godišnja nakladnička produkcija knjiga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E316A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E86A3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8.646 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FBB9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D44A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9.000 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EE972" w14:textId="77777777" w:rsidR="00146FB5" w:rsidRPr="009972E1" w:rsidRDefault="00F32A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9.621</w:t>
            </w:r>
          </w:p>
        </w:tc>
      </w:tr>
      <w:tr w:rsidR="00146FB5" w:rsidRPr="009972E1" w14:paraId="21D486CB" w14:textId="77777777" w:rsidTr="004A0F78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BFCC9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177339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C336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3D3DF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7E885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405AA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104%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185BC" w14:textId="77777777" w:rsidR="00146FB5" w:rsidRPr="009972E1" w:rsidRDefault="0043152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107%</w:t>
            </w:r>
          </w:p>
        </w:tc>
      </w:tr>
      <w:tr w:rsidR="00146FB5" w:rsidRPr="009972E1" w14:paraId="4F8B93BD" w14:textId="77777777" w:rsidTr="004A0F78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43D93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CIP zapisi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F0C0B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Katalogizacija u publikaciji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CF24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87A5E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5.169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F4383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CFFF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5.200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3FE32" w14:textId="77777777" w:rsidR="00146FB5" w:rsidRPr="009972E1" w:rsidRDefault="00F32A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5.076</w:t>
            </w:r>
          </w:p>
        </w:tc>
      </w:tr>
      <w:tr w:rsidR="00146FB5" w:rsidRPr="009972E1" w14:paraId="4C6A60E6" w14:textId="77777777" w:rsidTr="004A0F78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AF8FC1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2AADA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542DD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6F72F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9A29E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4630E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FBBF4" w14:textId="77777777" w:rsidR="00146FB5" w:rsidRPr="009972E1" w:rsidRDefault="00CA517D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98%</w:t>
            </w:r>
          </w:p>
        </w:tc>
      </w:tr>
      <w:tr w:rsidR="00146FB5" w:rsidRPr="009972E1" w14:paraId="251CB0C4" w14:textId="77777777" w:rsidTr="004A0F78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14288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Tekuća bibliografija – NIZ B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6490A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Godišnja nakladnička produkcija članaka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D171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B22A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10.146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CFF9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D7048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10.300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658E1" w14:textId="77777777" w:rsidR="00146FB5" w:rsidRPr="009972E1" w:rsidRDefault="00F32A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9.917</w:t>
            </w:r>
          </w:p>
        </w:tc>
      </w:tr>
      <w:tr w:rsidR="00146FB5" w:rsidRPr="009972E1" w14:paraId="65E8432C" w14:textId="77777777" w:rsidTr="004A0F78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B620C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152AE4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1B658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132A8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52B33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B3083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102%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F3D1C" w14:textId="77777777" w:rsidR="00146FB5" w:rsidRPr="009972E1" w:rsidRDefault="00CA517D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96%</w:t>
            </w:r>
          </w:p>
        </w:tc>
      </w:tr>
      <w:tr w:rsidR="00146FB5" w:rsidRPr="009972E1" w14:paraId="77E32767" w14:textId="77777777" w:rsidTr="004A0F78">
        <w:trPr>
          <w:trHeight w:val="36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65CD5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Retrospektivna bibliografija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82909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Hrvatska knjiga : 1835. -1940.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F0D2F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DACBE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9.358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CCA21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7399B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9.500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D967D" w14:textId="77777777" w:rsidR="00146FB5" w:rsidRPr="009972E1" w:rsidRDefault="00F32A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6.099</w:t>
            </w:r>
          </w:p>
        </w:tc>
      </w:tr>
      <w:tr w:rsidR="00146FB5" w:rsidRPr="009972E1" w14:paraId="720A1771" w14:textId="77777777" w:rsidTr="004A0F78">
        <w:trPr>
          <w:trHeight w:val="36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6B8D2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122EC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99C24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E7E1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F8654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52AA6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102%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078E0" w14:textId="77777777" w:rsidR="00146FB5" w:rsidRPr="009972E1" w:rsidRDefault="00CA517D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64%</w:t>
            </w:r>
          </w:p>
        </w:tc>
      </w:tr>
    </w:tbl>
    <w:p w14:paraId="083243BD" w14:textId="77777777" w:rsidR="0065591C" w:rsidRPr="009972E1" w:rsidRDefault="0065591C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B5D5C8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7B3DA6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9CF353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5 Zaštita građe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D39E3A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0DFB25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0C8CB2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Program obuhvaća mjere preventivne zaštite, metode restauracije i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laminacije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te mikrofilmiranja, poglavito nacionalnog fonda radi njegove trajne zaštite; sustavnu i postupnu digitalizacija fonda NSK, kako radi očuvanja, tako i radi djelotvornog korištenja (i na daljinu). Taj je program potrebno ubrzati, a za </w:t>
      </w:r>
      <w:r w:rsidR="009D616B" w:rsidRPr="009972E1">
        <w:rPr>
          <w:rFonts w:eastAsia="Times New Roman" w:cs="Times New Roman"/>
          <w:sz w:val="24"/>
          <w:szCs w:val="24"/>
          <w:lang w:eastAsia="hr-HR"/>
        </w:rPr>
        <w:t>izvršenje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je potrebna dodatna oprema. </w:t>
      </w:r>
    </w:p>
    <w:p w14:paraId="12268F6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C5936E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59BB10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i 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Statut NSK, Strategija razvoja NSK do 2026. godine 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0E4330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3D86CF0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- 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Strateškim planom Ministarstva kulture i medija 2020. 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7C091C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2. Zaštićena i očuvana kulturna baština </w:t>
      </w:r>
    </w:p>
    <w:p w14:paraId="31A4C05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87426B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AFE3B8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Sustavno provođenje zaštite i osiguranje dodatnih sredstava. </w:t>
      </w:r>
    </w:p>
    <w:p w14:paraId="463DBBD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95B601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CILJEVI PROVEDBE PROGRAMA U 2023.</w:t>
      </w:r>
      <w:r w:rsidR="008D65BC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1818B3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1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1C7E1A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Povećati zaštitu knjižničnog fonda. </w:t>
      </w:r>
    </w:p>
    <w:p w14:paraId="1C27ACFD" w14:textId="77777777" w:rsidR="0085333B" w:rsidRDefault="00446612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924351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D164CC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Redovito provoditi sve mjere zaštite, poglavito nacionalnog fonda radi njegove trajne zaštite. </w:t>
      </w:r>
    </w:p>
    <w:p w14:paraId="1B8C9E2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C9BFD8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2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75B240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Povećati digitalizaciju građe</w:t>
      </w:r>
      <w:r w:rsidR="0056023A" w:rsidRPr="009972E1">
        <w:rPr>
          <w:rFonts w:eastAsia="Times New Roman" w:cs="Times New Roman"/>
          <w:sz w:val="24"/>
          <w:szCs w:val="24"/>
          <w:lang w:eastAsia="hr-HR"/>
        </w:rPr>
        <w:t xml:space="preserve"> i osigurati trajnu pohranu digitalne građe</w:t>
      </w:r>
      <w:r w:rsidRPr="009972E1">
        <w:rPr>
          <w:rFonts w:eastAsia="Times New Roman" w:cs="Times New Roman"/>
          <w:sz w:val="24"/>
          <w:szCs w:val="24"/>
          <w:lang w:eastAsia="hr-HR"/>
        </w:rPr>
        <w:t>. </w:t>
      </w:r>
    </w:p>
    <w:p w14:paraId="4E82DD1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D698BF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52A26F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Povećati redovitu digitalizaciju najvrjednije baštine, </w:t>
      </w:r>
      <w:r w:rsidR="004639AC" w:rsidRPr="009972E1">
        <w:rPr>
          <w:rFonts w:eastAsia="Times New Roman" w:cs="Times New Roman"/>
          <w:sz w:val="24"/>
          <w:szCs w:val="24"/>
          <w:lang w:eastAsia="hr-HR"/>
        </w:rPr>
        <w:t>omogućavati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56023A" w:rsidRPr="009972E1">
        <w:rPr>
          <w:rFonts w:eastAsia="Times New Roman" w:cs="Times New Roman"/>
          <w:sz w:val="24"/>
          <w:szCs w:val="24"/>
          <w:lang w:eastAsia="hr-HR"/>
        </w:rPr>
        <w:t>trajn</w:t>
      </w:r>
      <w:r w:rsidR="004639AC" w:rsidRPr="009972E1">
        <w:rPr>
          <w:rFonts w:eastAsia="Times New Roman" w:cs="Times New Roman"/>
          <w:sz w:val="24"/>
          <w:szCs w:val="24"/>
          <w:lang w:eastAsia="hr-HR"/>
        </w:rPr>
        <w:t>u</w:t>
      </w:r>
      <w:r w:rsidR="0056023A" w:rsidRPr="009972E1">
        <w:rPr>
          <w:rFonts w:eastAsia="Times New Roman" w:cs="Times New Roman"/>
          <w:sz w:val="24"/>
          <w:szCs w:val="24"/>
          <w:lang w:eastAsia="hr-HR"/>
        </w:rPr>
        <w:t xml:space="preserve"> pohran</w:t>
      </w:r>
      <w:r w:rsidR="004639AC" w:rsidRPr="009972E1">
        <w:rPr>
          <w:rFonts w:eastAsia="Times New Roman" w:cs="Times New Roman"/>
          <w:sz w:val="24"/>
          <w:szCs w:val="24"/>
          <w:lang w:eastAsia="hr-HR"/>
        </w:rPr>
        <w:t>u</w:t>
      </w:r>
      <w:r w:rsidR="0056023A" w:rsidRPr="009972E1">
        <w:rPr>
          <w:rFonts w:eastAsia="Times New Roman" w:cs="Times New Roman"/>
          <w:sz w:val="24"/>
          <w:szCs w:val="24"/>
          <w:lang w:eastAsia="hr-HR"/>
        </w:rPr>
        <w:t xml:space="preserve"> te </w:t>
      </w:r>
      <w:r w:rsidRPr="009972E1">
        <w:rPr>
          <w:rFonts w:eastAsia="Times New Roman" w:cs="Times New Roman"/>
          <w:sz w:val="24"/>
          <w:szCs w:val="24"/>
          <w:lang w:eastAsia="hr-HR"/>
        </w:rPr>
        <w:t>uvid hrvatskoj i svjetskoj javnosti u bogatstvo hrvatske kulturn</w:t>
      </w:r>
      <w:r w:rsidR="004639AC" w:rsidRPr="009972E1">
        <w:rPr>
          <w:rFonts w:eastAsia="Times New Roman" w:cs="Times New Roman"/>
          <w:sz w:val="24"/>
          <w:szCs w:val="24"/>
          <w:lang w:eastAsia="hr-HR"/>
        </w:rPr>
        <w:t>e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baštin</w:t>
      </w:r>
      <w:r w:rsidR="004639AC" w:rsidRPr="009972E1">
        <w:rPr>
          <w:rFonts w:eastAsia="Times New Roman" w:cs="Times New Roman"/>
          <w:sz w:val="24"/>
          <w:szCs w:val="24"/>
          <w:lang w:eastAsia="hr-HR"/>
        </w:rPr>
        <w:t>e</w:t>
      </w:r>
      <w:r w:rsidRPr="009972E1">
        <w:rPr>
          <w:rFonts w:eastAsia="Times New Roman" w:cs="Times New Roman"/>
          <w:sz w:val="24"/>
          <w:szCs w:val="24"/>
          <w:lang w:eastAsia="hr-HR"/>
        </w:rPr>
        <w:t>. </w:t>
      </w:r>
    </w:p>
    <w:p w14:paraId="5D25B51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AA0E14A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8EF949F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360"/>
        <w:gridCol w:w="1209"/>
        <w:gridCol w:w="1301"/>
        <w:gridCol w:w="1184"/>
        <w:gridCol w:w="1226"/>
        <w:gridCol w:w="1595"/>
      </w:tblGrid>
      <w:tr w:rsidR="00146FB5" w:rsidRPr="009972E1" w14:paraId="6687ED34" w14:textId="77777777" w:rsidTr="00F126D2">
        <w:trPr>
          <w:trHeight w:val="720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256F3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27F6C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32346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27CD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624CEB6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EF7BF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73EA1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7ED51" w14:textId="77777777" w:rsidR="00146FB5" w:rsidRPr="009972E1" w:rsidRDefault="00D51BA9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0F323BFC" w14:textId="77777777" w:rsidTr="00F126D2">
        <w:trPr>
          <w:trHeight w:val="528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3C74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Sačuvana hrvatska baština 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1F902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Sačuvati od propadanja ukupnu hrvatsku baštinu 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EB1BD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Primjerak oštećene građe 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96D20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03493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1D203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6AD320" w14:textId="77777777" w:rsidR="00146FB5" w:rsidRPr="009972E1" w:rsidRDefault="008653C0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</w:t>
            </w:r>
            <w:r w:rsidR="00FB256E">
              <w:rPr>
                <w:rFonts w:eastAsia="Times New Roman" w:cs="Times New Roman"/>
                <w:sz w:val="24"/>
                <w:szCs w:val="24"/>
                <w:lang w:eastAsia="hr-HR"/>
              </w:rPr>
              <w:t>4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0%</w:t>
            </w:r>
          </w:p>
        </w:tc>
      </w:tr>
    </w:tbl>
    <w:p w14:paraId="1533DF5B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20C715E" w14:textId="77777777" w:rsidR="00705BB9" w:rsidRDefault="00705BB9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3265C551" w14:textId="77777777" w:rsidR="00705BB9" w:rsidRDefault="00705BB9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54F87AD" w14:textId="77777777" w:rsidR="00705BB9" w:rsidRDefault="00705BB9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5714BAC2" w14:textId="77777777" w:rsidR="00705BB9" w:rsidRDefault="00705BB9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514D862F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6218D85" w14:textId="77777777" w:rsidR="00705BB9" w:rsidRDefault="00705BB9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2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1332"/>
        <w:gridCol w:w="1420"/>
        <w:gridCol w:w="1205"/>
        <w:gridCol w:w="1037"/>
        <w:gridCol w:w="1073"/>
        <w:gridCol w:w="1508"/>
      </w:tblGrid>
      <w:tr w:rsidR="00146FB5" w:rsidRPr="009972E1" w14:paraId="3A8F3EDC" w14:textId="77777777" w:rsidTr="00AC1CD3">
        <w:trPr>
          <w:trHeight w:val="686"/>
        </w:trPr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3EF5F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FE07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35BA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FB30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 </w:t>
            </w:r>
          </w:p>
          <w:p w14:paraId="28E4684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80C62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FA58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5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D3B0E" w14:textId="77777777" w:rsidR="00146FB5" w:rsidRPr="009972E1" w:rsidRDefault="00D51BA9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4DF50CDF" w14:textId="77777777" w:rsidTr="00AC1CD3">
        <w:trPr>
          <w:trHeight w:val="457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6B4F4C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Digitalizacija izvornika 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DD420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Postupak zaštite građe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FAE5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snimak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DFE37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28.262 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27593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5E04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35</w:t>
            </w: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.000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8F894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47.792</w:t>
            </w:r>
          </w:p>
        </w:tc>
      </w:tr>
      <w:tr w:rsidR="00146FB5" w:rsidRPr="009972E1" w14:paraId="4F970263" w14:textId="77777777" w:rsidTr="00AC1CD3">
        <w:trPr>
          <w:trHeight w:val="320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FBAF50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163E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E29EE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F8272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274B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41B6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24</w:t>
            </w: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CC5A5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13</w:t>
            </w:r>
            <w:r w:rsidR="00F5510E"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7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146FB5" w:rsidRPr="009972E1" w14:paraId="66E626D0" w14:textId="77777777" w:rsidTr="00AC1CD3">
        <w:trPr>
          <w:trHeight w:val="457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4379B0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Digitalizacija mikrofilma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03A18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Postupak zaštite građe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E1669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snimak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9675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33.662 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EBFE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4394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45.000 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68CD8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65.414</w:t>
            </w:r>
          </w:p>
        </w:tc>
      </w:tr>
      <w:tr w:rsidR="00146FB5" w:rsidRPr="009972E1" w14:paraId="67F8EA3F" w14:textId="77777777" w:rsidTr="00AC1CD3">
        <w:trPr>
          <w:trHeight w:val="320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6BEC6E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9FCE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7BB3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E6785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A3540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DB9A1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134%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410E6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145%</w:t>
            </w:r>
          </w:p>
        </w:tc>
      </w:tr>
      <w:tr w:rsidR="00146FB5" w:rsidRPr="009972E1" w14:paraId="51EE51BE" w14:textId="77777777" w:rsidTr="00AC1CD3">
        <w:trPr>
          <w:trHeight w:val="457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3F508C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Mikrofilmiranje građe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01E6A6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Postupak zaštite građe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FA355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snimak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D059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78.456 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BB05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9E96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80.000 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CEE49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119.928</w:t>
            </w:r>
          </w:p>
        </w:tc>
      </w:tr>
      <w:tr w:rsidR="00146FB5" w:rsidRPr="009972E1" w14:paraId="16A76F96" w14:textId="77777777" w:rsidTr="00AC1CD3">
        <w:trPr>
          <w:trHeight w:val="320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C2BD17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CF7B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90C7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FF0B6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65BC8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F14F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102%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2F900" w14:textId="77777777" w:rsidR="00146FB5" w:rsidRPr="009972E1" w:rsidRDefault="00A86268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150%</w:t>
            </w:r>
          </w:p>
        </w:tc>
      </w:tr>
      <w:tr w:rsidR="00146FB5" w:rsidRPr="009972E1" w14:paraId="6021C708" w14:textId="77777777" w:rsidTr="00AC1CD3">
        <w:trPr>
          <w:trHeight w:val="915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08743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Konzerviranje i restauriranje građe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01F0E6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Postupak zaštite građe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83A66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93D17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511 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D80C2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76EB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550 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02D96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677</w:t>
            </w:r>
          </w:p>
        </w:tc>
      </w:tr>
      <w:tr w:rsidR="00146FB5" w:rsidRPr="009972E1" w14:paraId="7F7D6388" w14:textId="77777777" w:rsidTr="00AC1CD3">
        <w:trPr>
          <w:trHeight w:val="320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DD5B32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0461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E7BC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3093A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D7D9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87A8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108%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15100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12</w:t>
            </w:r>
            <w:r w:rsidR="002A1D35">
              <w:rPr>
                <w:rFonts w:eastAsia="Times New Roman" w:cs="Times New Roman"/>
                <w:sz w:val="24"/>
                <w:szCs w:val="24"/>
                <w:lang w:eastAsia="hr-HR"/>
              </w:rPr>
              <w:t>3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146FB5" w:rsidRPr="009972E1" w14:paraId="7C5D200A" w14:textId="77777777" w:rsidTr="00AC1CD3">
        <w:trPr>
          <w:trHeight w:val="686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606666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Opremanje zaštitnom ambalažom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45129F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Postupak zaštite građe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E8471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ovitak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CE5F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19.165 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1045F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592F4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18.000 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8B8FA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15.851</w:t>
            </w:r>
          </w:p>
        </w:tc>
      </w:tr>
      <w:tr w:rsidR="00146FB5" w:rsidRPr="009972E1" w14:paraId="6556C450" w14:textId="77777777" w:rsidTr="00AC1CD3">
        <w:trPr>
          <w:trHeight w:val="320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A31BF1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73AD3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C8E77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642A2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B0F77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3B63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94%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2A8E9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</w:t>
            </w:r>
            <w:r w:rsidR="00B50966">
              <w:rPr>
                <w:rFonts w:eastAsia="Times New Roman" w:cs="Times New Roman"/>
                <w:sz w:val="24"/>
                <w:szCs w:val="24"/>
                <w:lang w:eastAsia="hr-HR"/>
              </w:rPr>
              <w:t>8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146FB5" w:rsidRPr="009972E1" w14:paraId="21B82673" w14:textId="77777777" w:rsidTr="00AC1CD3">
        <w:trPr>
          <w:trHeight w:val="457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630D1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Uvezivanje građe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B9028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Postupak zaštite građe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5F3E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uvez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7B70B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861 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9FD70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07EF8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860 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C96F6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692</w:t>
            </w:r>
          </w:p>
        </w:tc>
      </w:tr>
      <w:tr w:rsidR="00146FB5" w:rsidRPr="009972E1" w14:paraId="3AB91C96" w14:textId="77777777" w:rsidTr="00AC1CD3">
        <w:trPr>
          <w:trHeight w:val="320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A7BD67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9F80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4CF5B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7A564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4CA68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C6BF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7D3E7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</w:t>
            </w:r>
            <w:r w:rsidR="007B4810">
              <w:rPr>
                <w:rFonts w:eastAsia="Times New Roman" w:cs="Times New Roman"/>
                <w:sz w:val="24"/>
                <w:szCs w:val="24"/>
                <w:lang w:eastAsia="hr-HR"/>
              </w:rPr>
              <w:t>0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2F4B6B" w:rsidRPr="009972E1" w14:paraId="19686346" w14:textId="77777777" w:rsidTr="00AC1CD3">
        <w:trPr>
          <w:trHeight w:val="32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6DE6" w14:textId="77777777" w:rsidR="002F4B6B" w:rsidRPr="009972E1" w:rsidRDefault="002F4B6B" w:rsidP="002F4B6B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Trajna pohrana</w:t>
            </w:r>
            <w:r w:rsidR="00740765"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EE5D" w14:textId="77777777" w:rsidR="002F4B6B" w:rsidRPr="009972E1" w:rsidRDefault="002F4B6B" w:rsidP="002F4B6B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Pohrana u Središnji sustav za trajnu pohranu  Ministarstva kulture i medija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4F83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informacijski paketi / datoteke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1361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5252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Središnji sustav trajne pohrane MKM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E4B5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FA8D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633 (informacijski paketi) /</w:t>
            </w:r>
          </w:p>
          <w:p w14:paraId="7B56C45E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1.348.566</w:t>
            </w:r>
          </w:p>
          <w:p w14:paraId="4AB83F7C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(datoteke)</w:t>
            </w:r>
          </w:p>
        </w:tc>
      </w:tr>
      <w:tr w:rsidR="002F4B6B" w:rsidRPr="009972E1" w14:paraId="7A255D7B" w14:textId="77777777" w:rsidTr="00AC1CD3">
        <w:trPr>
          <w:trHeight w:val="32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2522" w14:textId="77777777" w:rsidR="002F4B6B" w:rsidRPr="009972E1" w:rsidRDefault="002F4B6B" w:rsidP="002F4B6B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65BD" w14:textId="77777777" w:rsidR="002F4B6B" w:rsidRPr="009972E1" w:rsidRDefault="002F4B6B" w:rsidP="002F4B6B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DC13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ABA1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1A86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7B1E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1213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</w:tbl>
    <w:p w14:paraId="06803E2F" w14:textId="77777777" w:rsidR="00740765" w:rsidRPr="009972E1" w:rsidRDefault="00446612" w:rsidP="00740765">
      <w:pPr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  <w:r w:rsidR="00740765" w:rsidRPr="009972E1">
        <w:rPr>
          <w:rFonts w:eastAsia="Times New Roman" w:cs="Times New Roman"/>
          <w:sz w:val="24"/>
          <w:szCs w:val="24"/>
          <w:lang w:eastAsia="hr-HR"/>
        </w:rPr>
        <w:t> *Zbog novog načina izvještavanja u sklopu Središnjeg sustava za trajnu pohranu Ministarstva kulture i medija (e-Kultura) potrebne su navedene izmjene u praćenju podataka.</w:t>
      </w:r>
    </w:p>
    <w:p w14:paraId="00DE465A" w14:textId="77777777" w:rsidR="00446612" w:rsidRPr="009972E1" w:rsidRDefault="00446612" w:rsidP="00446612">
      <w:pPr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6A3DA3C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9C165F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B714AA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44AFDE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2B2763">
        <w:rPr>
          <w:rFonts w:eastAsia="Times New Roman" w:cs="Times New Roman"/>
          <w:b/>
          <w:bCs/>
          <w:sz w:val="24"/>
          <w:szCs w:val="24"/>
          <w:lang w:eastAsia="hr-HR"/>
        </w:rPr>
        <w:t>6 Sveučilišni program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BFA869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5093CD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E6F1D87" w14:textId="77777777" w:rsidR="00446612" w:rsidRPr="009972E1" w:rsidRDefault="0065591C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</w:t>
      </w:r>
      <w:r w:rsidR="00446612" w:rsidRPr="009972E1">
        <w:rPr>
          <w:rFonts w:eastAsia="Times New Roman" w:cs="Times New Roman"/>
          <w:sz w:val="24"/>
          <w:szCs w:val="24"/>
          <w:lang w:eastAsia="hr-HR"/>
        </w:rPr>
        <w:t xml:space="preserve">rogram obuhvaća organizaciju korisničkih usluga radi djelotvornijeg pristupa i korištenja svih informacijskih izvora (tiskanih i elektroničkih, u čitaonicama i izvan NSK/na daljinu), posudbu i </w:t>
      </w:r>
      <w:proofErr w:type="spellStart"/>
      <w:r w:rsidR="00446612" w:rsidRPr="009972E1">
        <w:rPr>
          <w:rFonts w:eastAsia="Times New Roman" w:cs="Times New Roman"/>
          <w:sz w:val="24"/>
          <w:szCs w:val="24"/>
          <w:lang w:eastAsia="hr-HR"/>
        </w:rPr>
        <w:t>međuknjižničnu</w:t>
      </w:r>
      <w:proofErr w:type="spellEnd"/>
      <w:r w:rsidR="00446612" w:rsidRPr="009972E1">
        <w:rPr>
          <w:rFonts w:eastAsia="Times New Roman" w:cs="Times New Roman"/>
          <w:sz w:val="24"/>
          <w:szCs w:val="24"/>
          <w:lang w:eastAsia="hr-HR"/>
        </w:rPr>
        <w:t xml:space="preserve"> posudbu u nacionalnom i sveučilišnom knjižničnom sustavu, izgradnju zbirki stručno-znanstvene literature (sa sve većim naglaskom na elektroničke izvore i korištenje na daljinu) kao potpore studijskim programima na dodiplomskim, diplomskim i </w:t>
      </w:r>
      <w:r w:rsidR="00446612" w:rsidRPr="009972E1">
        <w:rPr>
          <w:rFonts w:eastAsia="Times New Roman" w:cs="Times New Roman"/>
          <w:sz w:val="24"/>
          <w:szCs w:val="24"/>
          <w:lang w:eastAsia="hr-HR"/>
        </w:rPr>
        <w:lastRenderedPageBreak/>
        <w:t>poslijediplomskim studijima Sveučilišta u Zagrebu te hrvatskim sveučilištima, veleučilištima i visokim školama. </w:t>
      </w:r>
    </w:p>
    <w:p w14:paraId="67CCAAB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31BD42A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Program obuhvaća i izgradnju hrvatskog knjižničnog sustava kroz programsko/funkcionalno povezivanje hrvatskih knjižnica, posebice knjižnica u okviru Sveučilišta u Zagrebu, radi racionalizacije u pripremi i djelotvornosti u korištenju informacijskih izvora. Uz nastavak razvoja i održavanja knjižnično-informacijskog sustava u NSK i knjižnicama Sveučilišta u Zagrebu u planu je osnaživanje  razvoja sustava ostalih hrvatskih sveučilišta nadogradnjom postojećeg sustava knjižnično-informacijskim programom nove generacije računalstva u oblaku te nastavkom razvoja Hrvatskoga nacionalnog skupnog kataloga. </w:t>
      </w:r>
    </w:p>
    <w:p w14:paraId="44B3189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25C473B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U okviru programa je i osiguranje pristupa elektroničkim izvorima informacija te daljnje</w:t>
      </w: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upravljanje digitalnim repozitorijima: Nacionalnim repozitorijem završnih i diplomskih radova, Nacionalnim repozitorijem disertacija i znanstvenih magistarskih radova, Digitalnim repozitorijem Sveučilišta u Zagrebu, Repozitorijem Nacionalne i sveučilišne knjižnice u Zagrebu.</w:t>
      </w: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7C96FE4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47A6C83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45C6DC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djelatnosti, Zakon o znanstvenoj djelatnosti i visokom obrazovanju, Statut NSK, Statut Sveučilišta u Zagrebu; Strategija razvoja NSK do 2026. godine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8ED40A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50D6A8E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- Strateškim planom Ministarstva znanosti i obrazovanja za razdoblje 2020.- 2022.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619818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3. Unaprjeđenje kvalitete, relevantnosti, učinkovitosti i dostupnosti visokog obrazovanja </w:t>
      </w:r>
    </w:p>
    <w:p w14:paraId="2B8ADDF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9719F2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6F44A6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Funkcionalna koordinacija u sveučilišnom knjižničnom sustavu. </w:t>
      </w:r>
    </w:p>
    <w:p w14:paraId="44D72F1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E35EE0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CILJEVI PROVEDBE PROGRAMA U 2023.</w:t>
      </w:r>
      <w:r w:rsidR="008D65BC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5FA561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FC69E3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1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1B1156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Povećati djelotvornost i kvalitetu korisničkih usluga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18ECD5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E6829A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D126AC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Kontinuirano povećanje kvalitete usluga NSK kroz osiguranje djelotvornog pristupa i korištenja svih informacijskih izvora na daljinu i/ili u NSK. Omogućavanje funkcionalnog povezivanja knjižničnih usluga u knjižničnom sustavu Sveučilišta u Zagrebu. </w:t>
      </w:r>
    </w:p>
    <w:p w14:paraId="1696DA8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449B05A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9FF4198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66"/>
        <w:gridCol w:w="1087"/>
        <w:gridCol w:w="1306"/>
        <w:gridCol w:w="1188"/>
        <w:gridCol w:w="1230"/>
        <w:gridCol w:w="1601"/>
      </w:tblGrid>
      <w:tr w:rsidR="00F8105E" w:rsidRPr="009972E1" w14:paraId="529D6631" w14:textId="77777777" w:rsidTr="00AF234C">
        <w:trPr>
          <w:trHeight w:val="708"/>
        </w:trPr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840FFB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65C6A9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82F6E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67D3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263D9E0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3B16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1AA8B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779ED" w14:textId="77777777" w:rsidR="00F8105E" w:rsidRPr="009972E1" w:rsidRDefault="00D51BA9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F8105E" w:rsidRPr="009972E1" w14:paraId="0C75A54C" w14:textId="77777777" w:rsidTr="00AF234C">
        <w:trPr>
          <w:trHeight w:val="519"/>
        </w:trPr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66519F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Korisnici 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562937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Potencijalni korisnici NSK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77DE8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A18A3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3FFBEE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B0A9C8" w14:textId="77777777" w:rsidR="00F8105E" w:rsidRPr="002B2763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2B2763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6E5311" w14:textId="02EA3A26" w:rsidR="00F8105E" w:rsidRPr="002B2763" w:rsidRDefault="00B05C9D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125%</w:t>
            </w:r>
          </w:p>
        </w:tc>
      </w:tr>
    </w:tbl>
    <w:p w14:paraId="1852FA4D" w14:textId="77777777" w:rsidR="00AF234C" w:rsidRDefault="00AF234C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42591D76" w14:textId="77777777" w:rsidR="00AF234C" w:rsidRDefault="00AF234C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6FCC0843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165EEBA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E83F6C4" w14:textId="77777777" w:rsidR="00203EE3" w:rsidRDefault="00203EE3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3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596"/>
        <w:gridCol w:w="1024"/>
        <w:gridCol w:w="1271"/>
        <w:gridCol w:w="1093"/>
        <w:gridCol w:w="1132"/>
        <w:gridCol w:w="1473"/>
      </w:tblGrid>
      <w:tr w:rsidR="00F8105E" w:rsidRPr="009972E1" w14:paraId="215C34A5" w14:textId="77777777" w:rsidTr="00AF234C">
        <w:trPr>
          <w:trHeight w:val="681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E8296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NSK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04A17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B2239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0B88B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 </w:t>
            </w:r>
          </w:p>
          <w:p w14:paraId="5D894EF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A73C2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BCCAD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BE6603" w14:textId="77777777" w:rsidR="00F8105E" w:rsidRPr="009972E1" w:rsidRDefault="00D51BA9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F8105E" w:rsidRPr="009972E1" w14:paraId="116E7B4F" w14:textId="77777777" w:rsidTr="00AF234C">
        <w:trPr>
          <w:trHeight w:val="454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5C5037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Informacijski izvori 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7E499D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Baze podataka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ADAA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baza podataka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02677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19 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75E2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F3BAA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15 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BC918" w14:textId="0A046753" w:rsidR="00F8105E" w:rsidRPr="009972E1" w:rsidRDefault="006733AF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F8105E" w:rsidRPr="009972E1" w14:paraId="3D407F40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7D3427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46ADB0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1F38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883E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8B9B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96CE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79%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4E34B" w14:textId="3976609A" w:rsidR="00F8105E" w:rsidRPr="009972E1" w:rsidRDefault="0014568A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107%</w:t>
            </w:r>
          </w:p>
        </w:tc>
      </w:tr>
      <w:tr w:rsidR="00F8105E" w:rsidRPr="009972E1" w14:paraId="6BB93732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5E8D45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Informacijske usluge - posudba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5E73CC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Posudba i korištenje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8D29F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knjiga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8F757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87.838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9A51CA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407A0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90.000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5B7CE" w14:textId="2D1983EE" w:rsidR="00F8105E" w:rsidRPr="009972E1" w:rsidRDefault="006733AF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50.475</w:t>
            </w:r>
          </w:p>
        </w:tc>
      </w:tr>
      <w:tr w:rsidR="00F8105E" w:rsidRPr="009972E1" w14:paraId="52B83CE5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875F71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6549A4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6FF6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00E2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6C710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39A2A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102%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139EE" w14:textId="399C50CC" w:rsidR="00F8105E" w:rsidRPr="009972E1" w:rsidRDefault="0014568A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56%</w:t>
            </w:r>
          </w:p>
        </w:tc>
      </w:tr>
      <w:tr w:rsidR="00F8105E" w:rsidRPr="009972E1" w14:paraId="2A90939B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050A71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Informacijske usluge – </w:t>
            </w:r>
            <w:proofErr w:type="spellStart"/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međuknjižnična</w:t>
            </w:r>
            <w:proofErr w:type="spellEnd"/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 posudba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6E3E15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Domaća i međunarodna posudba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508BD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knjiga i/ili članak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117EBE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2.963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37E50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9817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3.000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7FF0F" w14:textId="638D0001" w:rsidR="00F8105E" w:rsidRPr="009972E1" w:rsidRDefault="006733AF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5.298</w:t>
            </w:r>
          </w:p>
        </w:tc>
      </w:tr>
      <w:tr w:rsidR="00F8105E" w:rsidRPr="009972E1" w14:paraId="109E32BF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7B5AC8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566A59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A9AF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56FBC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4B35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5FF79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AAC3B" w14:textId="5D2C9C78" w:rsidR="00F8105E" w:rsidRPr="009972E1" w:rsidRDefault="0014568A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177%</w:t>
            </w:r>
          </w:p>
        </w:tc>
      </w:tr>
      <w:tr w:rsidR="00F8105E" w:rsidRPr="009972E1" w14:paraId="018BD4B1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0D7EAA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Informacijske usluge – Pitajte knjižničara (tematska pretraživanja i opći upiti)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C0F8DA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Zahtjev za pretraživanje literature za završne, diplomske radove, opći upiti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17ACC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zahtjev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4BD8C9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3.677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C85AF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71F5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4.000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ACD89" w14:textId="6E0C9750" w:rsidR="00F8105E" w:rsidRPr="009972E1" w:rsidRDefault="006733AF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3.118</w:t>
            </w:r>
          </w:p>
        </w:tc>
      </w:tr>
      <w:tr w:rsidR="00F8105E" w:rsidRPr="009972E1" w14:paraId="5B290D77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6B4E8F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B1AFFF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B9AC2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0EC21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37D4DA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ED7E6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109%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6C24E" w14:textId="1896786A" w:rsidR="00F8105E" w:rsidRPr="009972E1" w:rsidRDefault="0014568A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78%</w:t>
            </w:r>
          </w:p>
        </w:tc>
      </w:tr>
      <w:tr w:rsidR="00F8105E" w:rsidRPr="00880466" w14:paraId="1200ABA9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F673FB" w14:textId="77777777" w:rsidR="00F8105E" w:rsidRPr="00880466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Posjeti e-sadržajima NSK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CC57A7" w14:textId="77777777" w:rsidR="00F8105E" w:rsidRPr="00880466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Posjeti e-sadržajima: Portal NSK, Katalog NSK, Sustav digitalne knjižnice NSK, Virtualne izložbe NSK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4B519F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72432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2.020.671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844710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A713CC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2.200.000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F2A90" w14:textId="5EB51792" w:rsidR="00F8105E" w:rsidRPr="00880466" w:rsidRDefault="00880466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sz w:val="24"/>
                <w:szCs w:val="24"/>
                <w:lang w:eastAsia="hr-HR"/>
              </w:rPr>
              <w:t>894.722</w:t>
            </w:r>
          </w:p>
        </w:tc>
      </w:tr>
      <w:tr w:rsidR="00F8105E" w:rsidRPr="00880466" w14:paraId="192FE94A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C6219A" w14:textId="77777777" w:rsidR="00F8105E" w:rsidRPr="00880466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03D50E" w14:textId="77777777" w:rsidR="00F8105E" w:rsidRPr="00880466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115831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15566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E5FECD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6CC2A8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109%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48C1C" w14:textId="5ADD5E6C" w:rsidR="00F8105E" w:rsidRPr="00880466" w:rsidRDefault="00880466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sz w:val="24"/>
                <w:szCs w:val="24"/>
                <w:lang w:eastAsia="hr-HR"/>
              </w:rPr>
              <w:t>41%</w:t>
            </w:r>
          </w:p>
        </w:tc>
      </w:tr>
      <w:tr w:rsidR="00F8105E" w:rsidRPr="009972E1" w14:paraId="5BC5503E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156A90" w14:textId="77777777" w:rsidR="00F8105E" w:rsidRPr="00880466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Pregled stranica u sklopu e-sadržaja NSK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5F65E" w14:textId="77777777" w:rsidR="00F8105E" w:rsidRPr="00880466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Pregled stranica u sklopu e-sadržaja: Portal </w:t>
            </w:r>
            <w:proofErr w:type="spellStart"/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NSK,,Katalog</w:t>
            </w:r>
            <w:proofErr w:type="spellEnd"/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 NSK, Sustav digitalne knjižnice NSK, Virtualne izložbe NSK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E96F1B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pregled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583B7F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7.661.286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F4510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394D0F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7.700.000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DEE8C" w14:textId="3F21CF78" w:rsidR="00F8105E" w:rsidRPr="009972E1" w:rsidRDefault="00880466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sz w:val="24"/>
                <w:szCs w:val="24"/>
                <w:lang w:eastAsia="hr-HR"/>
              </w:rPr>
              <w:t>6.332.543</w:t>
            </w:r>
          </w:p>
        </w:tc>
      </w:tr>
      <w:tr w:rsidR="00F8105E" w:rsidRPr="009972E1" w14:paraId="4C3B3430" w14:textId="77777777" w:rsidTr="00AF234C">
        <w:trPr>
          <w:trHeight w:val="121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A43D21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C9F654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FBB81A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D2912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16E7C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C74F2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 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A348765" w14:textId="787FF9D4" w:rsidR="00F8105E" w:rsidRPr="009972E1" w:rsidRDefault="00880466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82%</w:t>
            </w:r>
          </w:p>
        </w:tc>
      </w:tr>
    </w:tbl>
    <w:p w14:paraId="164DF11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726455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23FC3FF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34EE4DB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4AE6986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3212E37E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19AE30E2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4A9609B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CILJ 2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8FF3E6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Izgrađivati zbirke stručno-znanstvene literature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309EF4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F2C519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24260D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Izgradnja zbirki stručno-znanstvene literature prema potrebama studijskih programa na dodiplomskim, diplomskim i poslijediplomskim studijima visokih učilišta te izgradnja zbirke središnje knjižnice Sveučilišta u Zagrebu. </w:t>
      </w:r>
    </w:p>
    <w:p w14:paraId="0789522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A205670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5A0E51A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5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1546"/>
        <w:gridCol w:w="1082"/>
        <w:gridCol w:w="1299"/>
        <w:gridCol w:w="1183"/>
        <w:gridCol w:w="1235"/>
        <w:gridCol w:w="1593"/>
      </w:tblGrid>
      <w:tr w:rsidR="00F8105E" w:rsidRPr="009972E1" w14:paraId="60D4DA3D" w14:textId="77777777" w:rsidTr="0038009F">
        <w:trPr>
          <w:trHeight w:val="705"/>
        </w:trPr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81C4D4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68BD33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F329B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B53F80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Polazna vrijednost </w:t>
            </w:r>
          </w:p>
          <w:p w14:paraId="5B51C726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1D8BD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F4C5FE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C7A83" w14:textId="77777777" w:rsidR="00F8105E" w:rsidRPr="009972E1" w:rsidRDefault="00D51BA9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F8105E" w:rsidRPr="009972E1" w14:paraId="68E609C4" w14:textId="77777777" w:rsidTr="0038009F">
        <w:trPr>
          <w:trHeight w:val="517"/>
        </w:trPr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C550AB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Građa  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B4894A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svezak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03953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7FC40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8F4B9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53584A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6EDB75" w14:textId="6B15FAB3" w:rsidR="00F8105E" w:rsidRPr="009972E1" w:rsidRDefault="00247431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127%</w:t>
            </w:r>
          </w:p>
        </w:tc>
      </w:tr>
    </w:tbl>
    <w:p w14:paraId="5C11A47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2BDFDB53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5EDD46C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78"/>
        <w:gridCol w:w="1084"/>
        <w:gridCol w:w="1226"/>
        <w:gridCol w:w="1185"/>
        <w:gridCol w:w="1233"/>
        <w:gridCol w:w="1596"/>
      </w:tblGrid>
      <w:tr w:rsidR="00F8105E" w:rsidRPr="009972E1" w14:paraId="05CF0089" w14:textId="77777777" w:rsidTr="0038009F">
        <w:trPr>
          <w:trHeight w:val="634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B01D5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NSK 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236F9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3CC3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D56A2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 2021.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314EC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A9196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3FE207" w14:textId="77777777" w:rsidR="00F8105E" w:rsidRPr="009972E1" w:rsidRDefault="00D51BA9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F8105E" w:rsidRPr="009972E1" w14:paraId="36BEC08F" w14:textId="77777777" w:rsidTr="0038009F">
        <w:trPr>
          <w:trHeight w:val="422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544103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Nabava knjiga za programe koji se izvode na studijima hrvatskih visokih učilišta te na Sveučilištu u Zagrebu 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F079A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Udžbenička literatura za programe Sveučilišta u Zagrebu 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36DF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svezak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FF9B5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1.487 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F6376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B9825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1.450 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9A4A9" w14:textId="63BCF3E6" w:rsidR="00F8105E" w:rsidRPr="009972E1" w:rsidRDefault="0014568A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1.836</w:t>
            </w:r>
          </w:p>
        </w:tc>
      </w:tr>
      <w:tr w:rsidR="00F8105E" w:rsidRPr="009972E1" w14:paraId="65A4D6FA" w14:textId="77777777" w:rsidTr="0038009F">
        <w:trPr>
          <w:trHeight w:val="281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EE0DA2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8DD7F8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A30FF2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A7A25D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0C8F6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E5E5B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98%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A7705" w14:textId="2941E1F0" w:rsidR="00F8105E" w:rsidRPr="009972E1" w:rsidRDefault="006256F8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127%</w:t>
            </w:r>
          </w:p>
        </w:tc>
      </w:tr>
    </w:tbl>
    <w:p w14:paraId="7FD81EB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11E5F65" w14:textId="77777777" w:rsidR="00446612" w:rsidRPr="00DF45F5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DF45F5">
        <w:rPr>
          <w:rFonts w:eastAsia="Times New Roman" w:cs="Times New Roman"/>
          <w:b/>
          <w:bCs/>
          <w:sz w:val="24"/>
          <w:szCs w:val="24"/>
          <w:lang w:eastAsia="hr-HR"/>
        </w:rPr>
        <w:t>CILJ 3</w:t>
      </w:r>
      <w:r w:rsidRPr="00DF45F5">
        <w:rPr>
          <w:rFonts w:eastAsia="Times New Roman" w:cs="Times New Roman"/>
          <w:sz w:val="24"/>
          <w:szCs w:val="24"/>
          <w:lang w:eastAsia="hr-HR"/>
        </w:rPr>
        <w:t> </w:t>
      </w:r>
    </w:p>
    <w:p w14:paraId="253E592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DF45F5">
        <w:rPr>
          <w:rFonts w:eastAsia="Times New Roman" w:cs="Times New Roman"/>
          <w:b/>
          <w:bCs/>
          <w:sz w:val="24"/>
          <w:szCs w:val="24"/>
          <w:lang w:eastAsia="hr-HR"/>
        </w:rPr>
        <w:t>Izgradnja knjižnično-informacijskog sustava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3EF984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9B24EA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87F917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Izgraditi funkcionalno povezivanje knjižnica u sustavu znanosti Republike Hrvatske (skupni katalog). Što intenzivnije i produktivnije korištenje novih informacijskih tehnologija i novih medija s posebnim naglaskom na korištenje suvremenih knjižničnih softvera. </w:t>
      </w:r>
    </w:p>
    <w:p w14:paraId="60FB67CD" w14:textId="77777777" w:rsidR="00A677D6" w:rsidRDefault="00A677D6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27CA15D1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EB3AD73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404"/>
        <w:gridCol w:w="1001"/>
        <w:gridCol w:w="1091"/>
        <w:gridCol w:w="1054"/>
        <w:gridCol w:w="1091"/>
        <w:gridCol w:w="1091"/>
        <w:gridCol w:w="1419"/>
      </w:tblGrid>
      <w:tr w:rsidR="00F8105E" w:rsidRPr="009972E1" w14:paraId="48D53CAA" w14:textId="77777777" w:rsidTr="00A677D6">
        <w:trPr>
          <w:trHeight w:val="670"/>
        </w:trPr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1C2F0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NSK i Sveučilišta </w:t>
            </w:r>
          </w:p>
        </w:tc>
        <w:tc>
          <w:tcPr>
            <w:tcW w:w="14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70207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A66A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61AE7A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 2020. </w:t>
            </w:r>
          </w:p>
        </w:tc>
        <w:tc>
          <w:tcPr>
            <w:tcW w:w="1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6F379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386D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2022. 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482A0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09B5F" w14:textId="77777777" w:rsidR="00F8105E" w:rsidRPr="009972E1" w:rsidRDefault="00D51BA9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F8105E" w:rsidRPr="009972E1" w14:paraId="4BA86B58" w14:textId="77777777" w:rsidTr="00A677D6">
        <w:trPr>
          <w:trHeight w:val="447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852598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Integrirani knjižnični sustav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FF7E9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knjižnice u integriranom knjižničnom sustavu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66842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knjižnica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6A71D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CF72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C17A29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787A8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205E1" w14:textId="079FC1C7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46</w:t>
            </w:r>
          </w:p>
        </w:tc>
      </w:tr>
      <w:tr w:rsidR="00F8105E" w:rsidRPr="009972E1" w14:paraId="1CAECA91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2AEA4F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6B9C48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7703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8C3B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87C1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BCBAC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104%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5F78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106%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6A9D9" w14:textId="19BF087E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  <w:tr w:rsidR="00F8105E" w:rsidRPr="009972E1" w14:paraId="471B1B6C" w14:textId="77777777" w:rsidTr="00A677D6">
        <w:trPr>
          <w:trHeight w:val="790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9DE341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Bibliografski zapisi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2438DC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Zapisi knjižnica u sustavu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640B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0C87F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467.404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C7E08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FD427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470.000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B4AD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482.000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1CBFA" w14:textId="5ADBD165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500.552</w:t>
            </w:r>
          </w:p>
        </w:tc>
      </w:tr>
      <w:tr w:rsidR="00F8105E" w:rsidRPr="009972E1" w14:paraId="779D1903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F7E3C2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E98E66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8C1E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2EB5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0B6C8D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0586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C58F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103%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CA9DB" w14:textId="381B067F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103%</w:t>
            </w:r>
          </w:p>
        </w:tc>
      </w:tr>
      <w:tr w:rsidR="00F8105E" w:rsidRPr="009972E1" w14:paraId="753A6E13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D57BDA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Bibliografski zapisi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FD4C75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knjižnice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B24C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EE54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1.080.769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5F69E2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6DAB5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1.090.000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52F0D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1.120.000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E1F7B" w14:textId="45EB0A06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1.203.410</w:t>
            </w:r>
          </w:p>
        </w:tc>
      </w:tr>
      <w:tr w:rsidR="00F8105E" w:rsidRPr="009972E1" w14:paraId="6670CB31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9DB82D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AF7822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A0656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5EEAF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692209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4B630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21C58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103%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38D4E" w14:textId="5E020C09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107%</w:t>
            </w:r>
          </w:p>
        </w:tc>
      </w:tr>
      <w:tr w:rsidR="00F8105E" w:rsidRPr="009972E1" w14:paraId="6DA0B063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2FF92F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Normativni zapisi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774682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knjižnice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D8B92D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44C5E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626.327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9A8A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7F82A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640.000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859D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655.000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C882A" w14:textId="1B1D9B12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664.367</w:t>
            </w:r>
          </w:p>
        </w:tc>
      </w:tr>
      <w:tr w:rsidR="00F8105E" w:rsidRPr="009972E1" w14:paraId="724BBE51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9BACFE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485CD3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1DC83E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7D83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4E090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BD059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102%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8D617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102%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07DED" w14:textId="42822F39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101%</w:t>
            </w:r>
          </w:p>
        </w:tc>
      </w:tr>
      <w:tr w:rsidR="00F8105E" w:rsidRPr="009972E1" w14:paraId="537BB923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D125BB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Aktivni korisnici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A15DF6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knjižnice u sustavu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9E76D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korisnik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1F31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11.374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17A32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DB06C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12.000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EF00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12.500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C3009" w14:textId="5C4CA059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11.657</w:t>
            </w:r>
          </w:p>
        </w:tc>
      </w:tr>
      <w:tr w:rsidR="00F8105E" w:rsidRPr="009972E1" w14:paraId="1BF66D1F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7A54D2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14E5B7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BD66C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C130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35C6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D636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106%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ACA19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104%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7E198" w14:textId="5C59A71D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93%</w:t>
            </w:r>
          </w:p>
        </w:tc>
      </w:tr>
      <w:tr w:rsidR="00F8105E" w:rsidRPr="009972E1" w14:paraId="350805C3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C4FD20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Aktivni korisnici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2F9DAD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knjižnice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C0C2A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korisnik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83B1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4.605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0951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6446D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E2B0E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5.400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66B1C" w14:textId="6AC607F3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9.432</w:t>
            </w:r>
          </w:p>
        </w:tc>
      </w:tr>
      <w:tr w:rsidR="00F8105E" w:rsidRPr="009972E1" w14:paraId="1D721D24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FD1D598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FBF431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4030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85B7F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EEE85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3AC7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109%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0B414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108%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4B6B6" w14:textId="3B98DB70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174%</w:t>
            </w:r>
          </w:p>
        </w:tc>
      </w:tr>
      <w:tr w:rsidR="00F8105E" w:rsidRPr="009972E1" w14:paraId="262D9EF8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4AA52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Edukacija za članice sustava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96E721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Programi izobrazbe za </w:t>
            </w:r>
            <w:proofErr w:type="spellStart"/>
            <w:r w:rsidRPr="009972E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Aleph</w:t>
            </w:r>
            <w:proofErr w:type="spellEnd"/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2DA09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5FB1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EC3C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A618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1C0142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927ED" w14:textId="7227265C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F8105E" w:rsidRPr="009972E1" w14:paraId="213216F3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384AD7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9BDD2A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8083E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51014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AA916D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9E8E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7B0E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200%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9FAAA" w14:textId="6A7FDCE5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50%</w:t>
            </w:r>
          </w:p>
        </w:tc>
      </w:tr>
    </w:tbl>
    <w:p w14:paraId="19A7398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F57296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Obrazloženje: 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U planu razvoja Integriranog knjižničnog sustava Nacionalne i sveučilišne knjižnice u Zagrebu te visokoškolskih i specijalnih knjižnica u Republici Hrvatskoj planirana je implementacija platforme za knjižnične usluge u oblaku koja će omogućiti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konzorcijalnu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suradnju većeg broja novih knjižnica u sustavu. Povećanje broja bibliografskih zapisa u iznosu od 387 % rezultat je planiranog povećanja broja novih članica sustava te konverzije i migracije njihovih bibliografskih zapisa u sustav. </w:t>
      </w:r>
    </w:p>
    <w:p w14:paraId="0DDB3FF3" w14:textId="77777777" w:rsidR="00446612" w:rsidRPr="009972E1" w:rsidRDefault="00446612" w:rsidP="0065591C">
      <w:pPr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F31170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2B2763">
        <w:rPr>
          <w:rFonts w:eastAsia="Times New Roman" w:cs="Times New Roman"/>
          <w:b/>
          <w:bCs/>
          <w:sz w:val="24"/>
          <w:szCs w:val="24"/>
          <w:lang w:eastAsia="hr-HR"/>
        </w:rPr>
        <w:t>CILJ 4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94C776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>Razvoj i upravljanje digitalnim repozitorijima (Digitalni repozitorij Sveučilišta u Zagrebu, Nacionalni repozitorij završnih i diplomskih radova i Nacionalni repozitorij disertacija i znanstvenih magistarskih radova) sa svrhom trajne pohrane i dostupnosti hrvatske znanstvene baštine. </w:t>
      </w:r>
    </w:p>
    <w:p w14:paraId="558C7AE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955139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FDD6FD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U skladu s 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Pravilnikom o doktorskim studijima Sveučilišta u Zagrebu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i 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Zakonom visokom obrazovanju</w:t>
      </w:r>
      <w:r w:rsidR="00B456ED"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i znanstvenoj djelatnosti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>r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azvijena je tehnička i organizacijska infrastruktura za uspostavu digitalnih repozitorija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ocjenskih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radova u skladu s navedenim ciljevima. </w:t>
      </w:r>
    </w:p>
    <w:p w14:paraId="0D1902E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390D8F8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6E06A67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2341"/>
        <w:gridCol w:w="1091"/>
        <w:gridCol w:w="1310"/>
        <w:gridCol w:w="1193"/>
        <w:gridCol w:w="1234"/>
        <w:gridCol w:w="1606"/>
      </w:tblGrid>
      <w:tr w:rsidR="00036082" w:rsidRPr="009972E1" w14:paraId="0AB95EF2" w14:textId="77777777" w:rsidTr="0078577D">
        <w:trPr>
          <w:trHeight w:val="707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5EAFC2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9841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9E0FD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1C9A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4430CCE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31823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5DA96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38FFC8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3CBDA039" w14:textId="77777777" w:rsidTr="0078577D">
        <w:trPr>
          <w:trHeight w:val="518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C21BD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Građa  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270F80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Cjelovitost  zbirke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8A720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Završni rad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461A5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6C54B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FBC32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7AAFF8" w14:textId="30D1D49D" w:rsidR="00036082" w:rsidRPr="009972E1" w:rsidRDefault="00F40901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123%</w:t>
            </w:r>
          </w:p>
        </w:tc>
      </w:tr>
    </w:tbl>
    <w:p w14:paraId="51B8907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08ACBF8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7BFBF69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21F0292" w14:textId="77777777" w:rsidR="00446612" w:rsidRDefault="00446612" w:rsidP="00446612">
      <w:pPr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POKAZATELJI REZULTATA </w:t>
      </w: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> </w:t>
      </w:r>
    </w:p>
    <w:p w14:paraId="2AB29CAB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4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401"/>
        <w:gridCol w:w="1468"/>
        <w:gridCol w:w="1141"/>
        <w:gridCol w:w="1298"/>
        <w:gridCol w:w="1141"/>
        <w:gridCol w:w="1485"/>
      </w:tblGrid>
      <w:tr w:rsidR="00036082" w:rsidRPr="009972E1" w14:paraId="618DF5CA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108E4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2ED237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437B7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E39AC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Polazna vrijednost 2021.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B6BB3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39C3F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Ciljana vrijednost 2023.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EB18C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5471F878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B2D7D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Završni i diplomski radovi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CC57E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Digitalni oblik završnog i diplomskog  rada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212546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Završni i diplomski radovi u nacionalnom repozitoriju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9FD89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27.329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45748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4E83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27.400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D5926" w14:textId="73DB6830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31.781</w:t>
            </w:r>
          </w:p>
        </w:tc>
      </w:tr>
      <w:tr w:rsidR="00036082" w:rsidRPr="009972E1" w14:paraId="688971FF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6027D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AA48A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B2274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A9FB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EF3615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A996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100,2%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C9D40" w14:textId="05D81DBD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116%</w:t>
            </w:r>
          </w:p>
        </w:tc>
      </w:tr>
      <w:tr w:rsidR="00036082" w:rsidRPr="009972E1" w14:paraId="6E591CFF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E723FE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Disertacije u nacionalnom repozitoriju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CB7BD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Digitalni oblik disertacije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01C03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Disertacije u nacionalnom repozitoriju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8409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860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11F02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74DE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870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47E2B" w14:textId="7ADE6F76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1.973</w:t>
            </w:r>
          </w:p>
        </w:tc>
      </w:tr>
      <w:tr w:rsidR="00036082" w:rsidRPr="009972E1" w14:paraId="7B83A65F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BA59B2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FF3A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24BF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2932D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8F984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D29F1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EC68B" w14:textId="69DBC65C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227%</w:t>
            </w:r>
          </w:p>
        </w:tc>
      </w:tr>
      <w:tr w:rsidR="00036082" w:rsidRPr="009972E1" w14:paraId="72635C7E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28FAA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Završni i diplomski radovi u repozitoriju Sveučilišta u Zagrebu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9E17B2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Digitalni oblik završnog i diplomskog rada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FFBE3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Završni i diplomski radovi u repozitoriju Sveučilišta u Zagrebu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31007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11.245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EB05A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Sekundarni izvor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4DB9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11.260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A1138" w14:textId="32842D30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14.210</w:t>
            </w:r>
          </w:p>
        </w:tc>
      </w:tr>
      <w:tr w:rsidR="00036082" w:rsidRPr="009972E1" w14:paraId="7CFD53F0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E05517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2D555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30638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66A88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C25B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200C8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100,1%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CE36C" w14:textId="2EF3CA1D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126%</w:t>
            </w:r>
          </w:p>
        </w:tc>
      </w:tr>
      <w:tr w:rsidR="00036082" w:rsidRPr="009972E1" w14:paraId="2E7B619C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A16C0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Disertacije u repozitoriju Sveučilišta u Zagrebu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978144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Digitalni oblik disertacije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46EC6A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Disertacije u repozitoriju Sveučilišta u Zagrebu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E868C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658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7DAE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Sekundarni izvor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65B67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665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6F329" w14:textId="39926517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1.410</w:t>
            </w:r>
          </w:p>
        </w:tc>
      </w:tr>
      <w:tr w:rsidR="00036082" w:rsidRPr="009972E1" w14:paraId="60D1D95F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C5EEF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B2D8A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F6D9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8C26A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B3A49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BF13F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DF161" w14:textId="7AC878BA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212%</w:t>
            </w:r>
          </w:p>
        </w:tc>
      </w:tr>
    </w:tbl>
    <w:p w14:paraId="6D8D081F" w14:textId="77777777" w:rsidR="0065591C" w:rsidRPr="009972E1" w:rsidRDefault="0065591C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567D7BB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6FF9EB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77831F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34A35">
        <w:rPr>
          <w:rFonts w:eastAsia="Times New Roman" w:cs="Times New Roman"/>
          <w:b/>
          <w:bCs/>
          <w:sz w:val="24"/>
          <w:szCs w:val="24"/>
          <w:lang w:eastAsia="hr-HR"/>
        </w:rPr>
        <w:t>7 Istraživanje i razvoj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9218AA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6D0EBC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7F30E1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Sustavno provođenje istraživanja, izrađivanje razvojnih planova i projekata te pružanje stručne pomoći drugim knjižnicama radi unapređivanja njihova rada i razvoja. </w:t>
      </w:r>
    </w:p>
    <w:p w14:paraId="12702A1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40AEAB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1DAC00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djelatnosti, Zakon o visokom obrazovanju</w:t>
      </w:r>
      <w:r w:rsidR="00B456ED"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i znanstvenoj djelatnosti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, Statut NSK, Statut Sveučilišta u Zagrebu, Strategija razvoja NSK do 2026. godine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0058EB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040782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144DD45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- Strateškim planom Ministarstva znanosti i obrazovanja za razdoblje 2020. 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8D90B7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  </w:t>
      </w:r>
    </w:p>
    <w:p w14:paraId="0998BA1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3. Unaprjeđenje kvalitete, relevantnosti, učinkovitosti i dostupnosti visokog obrazovanja </w:t>
      </w:r>
    </w:p>
    <w:p w14:paraId="43285F4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7EDCB70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4659DB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Povezivanje knjižnica u sustavu i iznalaženje dodatnih sredstava financiranja. </w:t>
      </w:r>
    </w:p>
    <w:p w14:paraId="79616FF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A105C6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CILJEVI PROVEDBE PROGRAMA U 2023.</w:t>
      </w:r>
      <w:r w:rsidR="008D65BC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 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0B4910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A2CEF0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8DA6A1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Povećati istraživanja u području informacijskih znanosti (knjižničarstvo), izrađivati razvojne projekte knjižničarstva u Republici Hrvatskoj, organizirati stručno-znanstvene skupove. </w:t>
      </w:r>
    </w:p>
    <w:p w14:paraId="1E257F1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F89D48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5A9F3F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Pojačati istraživanja u knjižničnoj djelatnosti koja su temelj razvojnim planovima i projektima knjižničarstva u Republici Hrvatskoj. Razvojni projekti temelj su napredovanja knjižničarstva u Republici Hrvatskoj, a sudjelovanja na stručno-znanstvenim skupovima dio su stalnog stručnog osposobljavanja knjižničarskih djelatnika. </w:t>
      </w:r>
    </w:p>
    <w:p w14:paraId="6402014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BF909B8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BF69F66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2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755"/>
        <w:gridCol w:w="1211"/>
        <w:gridCol w:w="1239"/>
        <w:gridCol w:w="1152"/>
        <w:gridCol w:w="1196"/>
        <w:gridCol w:w="1552"/>
      </w:tblGrid>
      <w:tr w:rsidR="00036082" w:rsidRPr="009972E1" w14:paraId="286824D0" w14:textId="77777777" w:rsidTr="00AC703C">
        <w:trPr>
          <w:trHeight w:val="755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4DF7CE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2854F5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4FFA8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4B818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 2021.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B532D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6C6CA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90F086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6A4AF0E7" w14:textId="77777777" w:rsidTr="00AC703C">
        <w:trPr>
          <w:trHeight w:val="554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591B20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Nove spoznaje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72731D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Nova znanja u knjižničarstvu 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B70D3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Ocjenski</w:t>
            </w:r>
            <w:proofErr w:type="spellEnd"/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 i objavljeni radovi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83674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DD65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B5001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D0E0BF" w14:textId="7AA91FDE" w:rsidR="00036082" w:rsidRPr="009972E1" w:rsidRDefault="005B457D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</w:tbl>
    <w:p w14:paraId="5808AEF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02C82BB" w14:textId="77777777" w:rsidR="0085333B" w:rsidRDefault="0085333B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26A033B3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AEC25DA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2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666"/>
        <w:gridCol w:w="1303"/>
        <w:gridCol w:w="1132"/>
        <w:gridCol w:w="1094"/>
        <w:gridCol w:w="1132"/>
        <w:gridCol w:w="1473"/>
      </w:tblGrid>
      <w:tr w:rsidR="00036082" w:rsidRPr="009972E1" w14:paraId="540F8532" w14:textId="77777777" w:rsidTr="00AC703C">
        <w:trPr>
          <w:trHeight w:val="14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751582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6D2B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8DF8E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21C5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 2021. 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55AE6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0F719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858A18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53CC1F90" w14:textId="77777777" w:rsidTr="00AC703C">
        <w:trPr>
          <w:trHeight w:val="93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75BE21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Istraživanja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0BF891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Primarna istraživanja u knjižničarstvu 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BA0D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istraživanje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65A9C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2FED9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B9DAA0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4E4D9" w14:textId="45388F1E" w:rsidR="00036082" w:rsidRPr="009972E1" w:rsidRDefault="005B457D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036082" w:rsidRPr="009972E1" w14:paraId="197ADC27" w14:textId="77777777" w:rsidTr="00AC703C">
        <w:trPr>
          <w:trHeight w:val="61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E3C322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C1D7CD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80B54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B65A06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8891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A053A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400%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62A1F" w14:textId="3D558878" w:rsidR="00036082" w:rsidRPr="009972E1" w:rsidRDefault="005B457D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  <w:tr w:rsidR="00036082" w:rsidRPr="009972E1" w14:paraId="2A3632CB" w14:textId="77777777" w:rsidTr="00AC703C">
        <w:trPr>
          <w:trHeight w:val="61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5C856F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Razvojni projekti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77AED2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Razvoj knjižnične djelatnosti 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7A6A4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D1F2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B02B4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79FB8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3E3C7" w14:textId="4BD83B84" w:rsidR="00036082" w:rsidRPr="009972E1" w:rsidRDefault="005B457D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26</w:t>
            </w:r>
          </w:p>
        </w:tc>
      </w:tr>
      <w:tr w:rsidR="00036082" w:rsidRPr="009972E1" w14:paraId="0529C4B3" w14:textId="77777777" w:rsidTr="00AC703C">
        <w:trPr>
          <w:trHeight w:val="61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477174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D87BEE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173EF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84E7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73446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AD43B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107%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C691F" w14:textId="43ABAAD9" w:rsidR="00036082" w:rsidRPr="009972E1" w:rsidRDefault="005B457D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162%</w:t>
            </w:r>
          </w:p>
        </w:tc>
      </w:tr>
      <w:tr w:rsidR="00036082" w:rsidRPr="009972E1" w14:paraId="6F363A33" w14:textId="77777777" w:rsidTr="00AC703C">
        <w:trPr>
          <w:trHeight w:val="61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6BB2DD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Organizacija stručno-znanstvenih skupova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B985B9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Obrada tema važnih za knjižničarstvo 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C085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skup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E7B38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DE893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41BD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DCF4A" w14:textId="68EC0EA8" w:rsidR="00036082" w:rsidRPr="009972E1" w:rsidRDefault="005B457D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38</w:t>
            </w:r>
          </w:p>
        </w:tc>
      </w:tr>
      <w:tr w:rsidR="00036082" w:rsidRPr="009972E1" w14:paraId="644C5B8A" w14:textId="77777777" w:rsidTr="00AC703C">
        <w:trPr>
          <w:trHeight w:val="61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639B16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E41457B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332C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01E3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E3EB9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D2B26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122%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268D4" w14:textId="729E66E4" w:rsidR="00036082" w:rsidRPr="009972E1" w:rsidRDefault="005B457D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345%</w:t>
            </w:r>
          </w:p>
        </w:tc>
      </w:tr>
    </w:tbl>
    <w:p w14:paraId="6060A4C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69D8854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14840743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28175BD9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232B6AC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3AB163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57F832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7D8880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8 Stalno stručno usavršavanje knjižničara u Republici Hrvatskoj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8E83CB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06E9BE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E5F381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Sustavno i organizirano provođenje svih oblika stalnog stručnog usavršavanja za knjižničarske djelatnike svih vrsta knjižnica, posebice kroz Centar za stalno stručno usavršavanje knjižničara (CSSU)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5F7C86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DCF50D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55E677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djelatnosti, Zakon o visokom obrazovanju</w:t>
      </w:r>
      <w:r w:rsidR="00BE36E8"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i znanstvenoj djelatnosti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, Statut NSK, Statut Sveučilišta u Zagrebu, Strategija razvoja NSK do 2026. godine 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1B450B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3D8877E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- Strateškim planom Ministarstva znanosti i obrazovanja za razdoblje 2020. 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76DD94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1. Kvalitetan sustav odgoja i obrazovanja,  </w:t>
      </w:r>
    </w:p>
    <w:p w14:paraId="0C3631C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2. Unaprijeđeno strukovno obrazovanje i obrazovanje odraslih </w:t>
      </w:r>
    </w:p>
    <w:p w14:paraId="1620216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9ADD67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D09649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Kvalitetan i raznolik izbor programa. </w:t>
      </w:r>
    </w:p>
    <w:p w14:paraId="7C654BD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51ABC5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CILJEVI PROVEDBE PROGRAMA U 2023.</w:t>
      </w:r>
      <w:r w:rsidR="008D65BC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DB9060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E2987B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A479E6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Povećati broj knjižničara uključenih u stalno stručno usavršavanje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</w:t>
      </w:r>
      <w:r w:rsidRPr="009972E1">
        <w:rPr>
          <w:rFonts w:eastAsia="Times New Roman" w:cs="Times New Roman"/>
          <w:sz w:val="24"/>
          <w:szCs w:val="24"/>
          <w:lang w:eastAsia="hr-HR"/>
        </w:rPr>
        <w:t>i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</w:t>
      </w:r>
      <w:r w:rsidRPr="009972E1">
        <w:rPr>
          <w:rFonts w:eastAsia="Times New Roman" w:cs="Times New Roman"/>
          <w:sz w:val="24"/>
          <w:szCs w:val="24"/>
          <w:lang w:eastAsia="hr-HR"/>
        </w:rPr>
        <w:t>povećati kvalitetu programa u okviru Centra za stalno stručno usavršavanje knjižničara. </w:t>
      </w:r>
    </w:p>
    <w:p w14:paraId="08943D4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A002D5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3D8BDF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Raznovrsnim programima u skladu s potrebama knjižničarske struke povećati broj knjižničnog osoblja uključen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>og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u proces stalnog stručnog usavršavanja. Provoditi istraživanja 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 xml:space="preserve">među </w:t>
      </w:r>
      <w:r w:rsidRPr="009972E1">
        <w:rPr>
          <w:rFonts w:eastAsia="Times New Roman" w:cs="Times New Roman"/>
          <w:sz w:val="24"/>
          <w:szCs w:val="24"/>
          <w:lang w:eastAsia="hr-HR"/>
        </w:rPr>
        <w:t>polazni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>cima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CSSU o zadovoljstvu 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 xml:space="preserve">s </w:t>
      </w:r>
      <w:r w:rsidRPr="009972E1">
        <w:rPr>
          <w:rFonts w:eastAsia="Times New Roman" w:cs="Times New Roman"/>
          <w:sz w:val="24"/>
          <w:szCs w:val="24"/>
          <w:lang w:eastAsia="hr-HR"/>
        </w:rPr>
        <w:t>održani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>m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predavanj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>ima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i radionica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>ma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i prema rezultatima istraživanja mijenjati programe. </w:t>
      </w:r>
    </w:p>
    <w:p w14:paraId="1CFDB37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BDB5956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8FF2869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2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329"/>
        <w:gridCol w:w="1126"/>
        <w:gridCol w:w="1252"/>
        <w:gridCol w:w="1209"/>
        <w:gridCol w:w="1252"/>
        <w:gridCol w:w="1629"/>
      </w:tblGrid>
      <w:tr w:rsidR="00036082" w:rsidRPr="009972E1" w14:paraId="3173AB97" w14:textId="77777777" w:rsidTr="00453FD0">
        <w:trPr>
          <w:trHeight w:val="692"/>
        </w:trPr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BE1AC3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1583C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6D5A6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3338C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Polazna vrijednost 2021. 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1700A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06A3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76D91A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0B3B47C6" w14:textId="77777777" w:rsidTr="00453FD0">
        <w:trPr>
          <w:trHeight w:val="507"/>
        </w:trPr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8A7E1F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Primjena usvojenih znanja 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1542EF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Stalno usvajanje novih znanja 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B56BD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 </w:t>
            </w:r>
          </w:p>
          <w:p w14:paraId="19F80176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CCF3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6C93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E271C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4234F" w14:textId="77777777" w:rsidR="00036082" w:rsidRPr="009972E1" w:rsidRDefault="00E70D4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  <w:r w:rsidR="00036082"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14:paraId="7C3D21A3" w14:textId="77777777" w:rsidR="00453FD0" w:rsidRDefault="00446612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</w:p>
    <w:p w14:paraId="50405895" w14:textId="77777777" w:rsidR="001F45AD" w:rsidRDefault="001F45AD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4F933B66" w14:textId="77777777" w:rsidR="001F45AD" w:rsidRDefault="001F45AD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5E5A87C7" w14:textId="77777777" w:rsidR="001F45AD" w:rsidRDefault="001F45AD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5217C152" w14:textId="77777777" w:rsidR="001F45AD" w:rsidRDefault="001F45AD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7460536F" w14:textId="77777777" w:rsidR="001F45AD" w:rsidRDefault="001F45AD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2E6DB1B3" w14:textId="77777777" w:rsidR="001F45AD" w:rsidRDefault="001F45AD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4146FAEA" w14:textId="77777777" w:rsidR="001F45AD" w:rsidRDefault="001F45AD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5B14C982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47836CA6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7EBEFC7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259"/>
        <w:gridCol w:w="1091"/>
        <w:gridCol w:w="1121"/>
        <w:gridCol w:w="1014"/>
        <w:gridCol w:w="1121"/>
        <w:gridCol w:w="1460"/>
      </w:tblGrid>
      <w:tr w:rsidR="00036082" w:rsidRPr="009972E1" w14:paraId="08247CE2" w14:textId="77777777" w:rsidTr="00453FD0">
        <w:trPr>
          <w:trHeight w:val="671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A661B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0BF83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3E511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B9A38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Polazna vrijednost 2021.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3CA35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3154B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Ciljana vrijednost 2023.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8C5EFA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6EF77DED" w14:textId="77777777" w:rsidTr="00453FD0">
        <w:trPr>
          <w:trHeight w:val="447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D79854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Broj polaznika programa/radionica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BD17E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Knjižničari svih vrsta knjižnica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A095B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polaznik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D014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3.502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79CB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33B9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3.520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120E4" w14:textId="77777777" w:rsidR="00036082" w:rsidRPr="009972E1" w:rsidRDefault="004B318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3.094</w:t>
            </w:r>
          </w:p>
        </w:tc>
      </w:tr>
      <w:tr w:rsidR="00036082" w:rsidRPr="009972E1" w14:paraId="7120DE94" w14:textId="77777777" w:rsidTr="00453FD0">
        <w:trPr>
          <w:trHeight w:val="298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A6E8A8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384847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99E1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1B696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766C1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1E634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3BDB0" w14:textId="77777777" w:rsidR="00036082" w:rsidRPr="009972E1" w:rsidRDefault="00493655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88%</w:t>
            </w:r>
          </w:p>
        </w:tc>
      </w:tr>
      <w:tr w:rsidR="00036082" w:rsidRPr="009972E1" w14:paraId="6517875B" w14:textId="77777777" w:rsidTr="00453FD0">
        <w:trPr>
          <w:trHeight w:val="298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07C536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Broj programa/radionica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255C64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Stručne radionice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5655E0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radionica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293B4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59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408E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6583C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CE2DA" w14:textId="77777777" w:rsidR="00036082" w:rsidRPr="009972E1" w:rsidRDefault="004B318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67</w:t>
            </w:r>
          </w:p>
        </w:tc>
      </w:tr>
      <w:tr w:rsidR="00036082" w:rsidRPr="009972E1" w14:paraId="3E8AB8F9" w14:textId="77777777" w:rsidTr="00453FD0">
        <w:trPr>
          <w:trHeight w:val="298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B096CF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965A7D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1A5EB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AFEB7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835E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68AF5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102%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A8C72" w14:textId="77777777" w:rsidR="00036082" w:rsidRPr="009972E1" w:rsidRDefault="00493655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112%</w:t>
            </w:r>
          </w:p>
        </w:tc>
      </w:tr>
      <w:tr w:rsidR="00036082" w:rsidRPr="009972E1" w14:paraId="7747AC89" w14:textId="77777777" w:rsidTr="00453FD0">
        <w:trPr>
          <w:trHeight w:val="298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E6EDD7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Broj sati edukacije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3F3297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Sati edukacije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48A7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Ostvareni sati (60')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0FF9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90,5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A80E6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CFDC1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95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BEEDE" w14:textId="77777777" w:rsidR="00036082" w:rsidRPr="009972E1" w:rsidRDefault="004B318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170,5</w:t>
            </w:r>
          </w:p>
        </w:tc>
      </w:tr>
      <w:tr w:rsidR="00036082" w:rsidRPr="009972E1" w14:paraId="24AAD480" w14:textId="77777777" w:rsidTr="00453FD0">
        <w:trPr>
          <w:trHeight w:val="298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B30792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3632FF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4F3AF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974B1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286DF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FC14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105%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66FC6" w14:textId="77777777" w:rsidR="00036082" w:rsidRPr="009972E1" w:rsidRDefault="00493655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</w:t>
            </w:r>
            <w:r w:rsidR="00E61514">
              <w:rPr>
                <w:rFonts w:eastAsia="Times New Roman" w:cs="Times New Roman"/>
                <w:sz w:val="24"/>
                <w:szCs w:val="24"/>
                <w:lang w:eastAsia="hr-HR"/>
              </w:rPr>
              <w:t>79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</w:tbl>
    <w:p w14:paraId="48A6F69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84F9CC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Polazne vrijednosti iz 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 xml:space="preserve">Izvješća o radu za </w:t>
      </w:r>
      <w:r w:rsidRPr="009972E1">
        <w:rPr>
          <w:rFonts w:eastAsia="Times New Roman" w:cs="Times New Roman"/>
          <w:sz w:val="24"/>
          <w:szCs w:val="24"/>
          <w:lang w:eastAsia="hr-HR"/>
        </w:rPr>
        <w:t>2021. godin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>u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promatrane su u kontekstu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pandemije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bolesti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Covid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19 i specifičnih okolnosti poslovanja: cjelokupna edukacija u organizaciji CSSU-a 2021. godine odvijala se putem mrežnih seminara (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webinara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>), što je dovelo do velikog broja polaznika zbog lakše dostupnosti edukacija te manjeg broja sati edukacije (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webinari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traju od 90 do 120 minuta).  </w:t>
      </w:r>
    </w:p>
    <w:p w14:paraId="313E83E4" w14:textId="77777777" w:rsidR="00230998" w:rsidRPr="009972E1" w:rsidRDefault="00230998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4656967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Pri procjeni budućih rezultata (broj polaznika, ostvareni sati edukacije) vodilo se računa o nastavku održavanja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webinara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(zbog zadovoljstva polaznika ovim formatom edukacije), uvođenju e-tečajeva u program te ponovnoj organizaciji tečajeva u fizičkom prostoru. U programu za 2023., 2024. i 2025. godinu trebala bi biti zastupljena sva tri oblika edukacija, no s obzirom na trenutačne trendove, pretpostavka je da će i u idućem razdoblju naglasak biti na online učenju. </w:t>
      </w:r>
    </w:p>
    <w:p w14:paraId="02D869B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35C7AAE" w14:textId="77777777" w:rsidR="00E210FB" w:rsidRPr="009972E1" w:rsidRDefault="00E210FB" w:rsidP="00E210FB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U 2023. godini bila su zastupljena tri oblika edukacija: tečajevi, odnosno radionice u fizičkom prostoru,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webinari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i e-tečajevi. Budući da je u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postpandemijskom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razdoblju naglasak stavljen na postupni povratak edukacija u fizičke prostore, broj polaznika niži je od procijenjenog jer edukacije radioničkog tipa podrazumijevaju znatno manji broj polaznika od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webinara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. Zbog duljeg trajanja takvih edukacija te ukupno većeg broja realiziranih edukacija, ukupan broj sati edukacije također je viši od predviđenog. </w:t>
      </w:r>
    </w:p>
    <w:p w14:paraId="4DDB3FF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6F313CD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EF8161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E735DB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CA2878">
        <w:rPr>
          <w:rFonts w:eastAsia="Times New Roman" w:cs="Times New Roman"/>
          <w:b/>
          <w:bCs/>
          <w:sz w:val="24"/>
          <w:szCs w:val="24"/>
          <w:lang w:eastAsia="hr-HR"/>
        </w:rPr>
        <w:t>9 Međunarodna suradnja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ADF49F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326493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ED2FEA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Programi međunarodne suradnje odvijat će se u okviru organizacija i udruga kojih je Knjižnica član (kao npr. CENL, IFLA, CDNL, LIBER,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Europeana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>), s pojedinim knjižnicama izravno (razmjena građe, znanja, iskustava i stručnjaka, organizacija izložbi) te u okviru posebnih projekata.  </w:t>
      </w:r>
    </w:p>
    <w:p w14:paraId="1F7FE6F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8CC889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99FFFA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djelatnosti, Zakon o visokom obrazovanju</w:t>
      </w:r>
      <w:r w:rsidR="006B0F29"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i znanstvenoj djelatnosti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, Statut NSK, Statut Sveučilišta u Zagrebu, Strategija razvoja NSK do 2026. godine 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A1FE03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33E8A3E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lastRenderedPageBreak/>
        <w:t>- Strateškim planom Ministarstva znanosti i obrazovanja za razdoblje 2020. 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EE572C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4. Međunarodno konkurentan sustav znanosti  </w:t>
      </w:r>
    </w:p>
    <w:p w14:paraId="4370C7D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8AF0F5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EEB879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Aktivno sudjelovanje u radu međunarodnih organizacija i udruga. Uključivanje hrvatske građe i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metapodataka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o hrvatskoj građi u primjerice: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Europeanu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>, ISBN, ISSN, VIAF itd. Aktivno sudjelovanje na međunarodnim znanstvenim i stručnim skupovima, projektima i programima. </w:t>
      </w:r>
    </w:p>
    <w:p w14:paraId="3CBCAA2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CD88A4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CILJEVI PROVEDBE PROGRAMA U 2023. </w:t>
      </w:r>
      <w:r w:rsidR="008D65BC">
        <w:rPr>
          <w:rFonts w:eastAsia="Times New Roman" w:cs="Times New Roman"/>
          <w:b/>
          <w:bCs/>
          <w:sz w:val="24"/>
          <w:szCs w:val="24"/>
          <w:lang w:eastAsia="hr-HR"/>
        </w:rPr>
        <w:t xml:space="preserve">GODINI 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A3CFBF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09BF5F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A381BD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Promoviranje hrvatske knjižnične djelatnosti te znanstvene i kulturne baštine Republike Hrvatske. </w:t>
      </w:r>
    </w:p>
    <w:p w14:paraId="3591AEEC" w14:textId="77777777" w:rsidR="00C62EA9" w:rsidRPr="009972E1" w:rsidRDefault="00446612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0F07212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354EA51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387"/>
        <w:gridCol w:w="1105"/>
        <w:gridCol w:w="1250"/>
        <w:gridCol w:w="1208"/>
        <w:gridCol w:w="1250"/>
        <w:gridCol w:w="1627"/>
      </w:tblGrid>
      <w:tr w:rsidR="00036082" w:rsidRPr="009972E1" w14:paraId="5C5FD631" w14:textId="77777777" w:rsidTr="001F45AD">
        <w:trPr>
          <w:trHeight w:val="68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ADEDBB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603A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662D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4B087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 2021.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134D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A60ED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949D35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2FC769BB" w14:textId="77777777" w:rsidTr="001F45AD">
        <w:trPr>
          <w:trHeight w:val="50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8EAC5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Međunarodna suradnja 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4360A8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Promidžba i povećanje vidljivosti hrvatske znanstvene i kulturne baštine  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DFE5B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7DACA0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54409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3F42E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F6E54D" w14:textId="2A762D19" w:rsidR="00036082" w:rsidRPr="009972E1" w:rsidRDefault="0089055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180%</w:t>
            </w:r>
          </w:p>
        </w:tc>
      </w:tr>
    </w:tbl>
    <w:p w14:paraId="102FEB9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96E1D0F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05D7F13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5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711"/>
        <w:gridCol w:w="1031"/>
        <w:gridCol w:w="1213"/>
        <w:gridCol w:w="1097"/>
        <w:gridCol w:w="1213"/>
        <w:gridCol w:w="1579"/>
      </w:tblGrid>
      <w:tr w:rsidR="00036082" w:rsidRPr="009972E1" w14:paraId="63D2F81F" w14:textId="77777777" w:rsidTr="000B5D49">
        <w:trPr>
          <w:trHeight w:val="678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E0BF57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9325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ADF7B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62BA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 2021.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6CC7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9FB140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5FB5EC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5D62BE16" w14:textId="77777777" w:rsidTr="000B5D49">
        <w:trPr>
          <w:trHeight w:val="452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5B1DA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Međunarodne udruge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4C3F3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Članstvo NSK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DE0D4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AF577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C77A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473DA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5E0ED" w14:textId="0E4E4D7B" w:rsidR="00036082" w:rsidRPr="009972E1" w:rsidRDefault="0089055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22</w:t>
            </w:r>
          </w:p>
        </w:tc>
      </w:tr>
      <w:tr w:rsidR="00036082" w:rsidRPr="009972E1" w14:paraId="429363D4" w14:textId="77777777" w:rsidTr="000B5D49">
        <w:trPr>
          <w:trHeight w:val="301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23319A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32B218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711B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9E9E5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2E920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A414F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86%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62C03" w14:textId="4EB2AFEA" w:rsidR="00036082" w:rsidRPr="009972E1" w:rsidRDefault="0089055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116%</w:t>
            </w:r>
          </w:p>
        </w:tc>
      </w:tr>
      <w:tr w:rsidR="00036082" w:rsidRPr="009972E1" w14:paraId="6D9E7742" w14:textId="77777777" w:rsidTr="000B5D49">
        <w:trPr>
          <w:trHeight w:val="301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6995DB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Međunarodni programi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A6C43C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Sudjelovanje NSK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2E4D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D140E0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B2C37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284D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E7A82" w14:textId="61032628" w:rsidR="00036082" w:rsidRPr="009972E1" w:rsidRDefault="0089055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30</w:t>
            </w:r>
          </w:p>
        </w:tc>
      </w:tr>
      <w:tr w:rsidR="00036082" w:rsidRPr="009972E1" w14:paraId="5ED927E6" w14:textId="77777777" w:rsidTr="000B5D49">
        <w:trPr>
          <w:trHeight w:val="301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521B5B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F05FFB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9EE5A5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DCAD0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6C75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996A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73%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4E31B" w14:textId="289C0C90" w:rsidR="00036082" w:rsidRPr="009972E1" w:rsidRDefault="0089055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273%</w:t>
            </w:r>
          </w:p>
        </w:tc>
      </w:tr>
      <w:tr w:rsidR="00036082" w:rsidRPr="009972E1" w14:paraId="4B282727" w14:textId="77777777" w:rsidTr="000B5D49">
        <w:trPr>
          <w:trHeight w:val="301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DC7906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Međunarodni skupovi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1BA62E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Predstavljanje rezultata u svijetu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32C1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skup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F787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CA48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8187B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07729" w14:textId="1CDFDC23" w:rsidR="00036082" w:rsidRPr="009972E1" w:rsidRDefault="0089055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036082" w:rsidRPr="009972E1" w14:paraId="50FDCFE4" w14:textId="77777777" w:rsidTr="000B5D49">
        <w:trPr>
          <w:trHeight w:val="301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72D30A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171899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1789F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1571A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6A75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E253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48%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7B2A9" w14:textId="654AD0E6" w:rsidR="00036082" w:rsidRPr="009972E1" w:rsidRDefault="0089055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200%</w:t>
            </w:r>
          </w:p>
        </w:tc>
      </w:tr>
    </w:tbl>
    <w:p w14:paraId="341D372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FD94DB2" w14:textId="77777777" w:rsidR="00446612" w:rsidRPr="009972E1" w:rsidRDefault="00446612" w:rsidP="00203EE3">
      <w:pPr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2E869BE7" w14:textId="77777777" w:rsidR="004D0790" w:rsidRPr="009972E1" w:rsidRDefault="008431FE" w:rsidP="00496022">
      <w:pPr>
        <w:textAlignment w:val="baseline"/>
        <w:rPr>
          <w:rFonts w:cs="Times New Roman"/>
          <w:sz w:val="24"/>
          <w:szCs w:val="24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ab/>
      </w:r>
      <w:r w:rsidRPr="009972E1">
        <w:rPr>
          <w:rFonts w:eastAsia="Times New Roman" w:cs="Times New Roman"/>
          <w:sz w:val="24"/>
          <w:szCs w:val="24"/>
          <w:lang w:eastAsia="hr-HR"/>
        </w:rPr>
        <w:tab/>
      </w:r>
      <w:r w:rsidRPr="009972E1">
        <w:rPr>
          <w:rFonts w:eastAsia="Times New Roman" w:cs="Times New Roman"/>
          <w:sz w:val="24"/>
          <w:szCs w:val="24"/>
          <w:lang w:eastAsia="hr-HR"/>
        </w:rPr>
        <w:tab/>
      </w:r>
      <w:r w:rsidRPr="009972E1">
        <w:rPr>
          <w:rFonts w:eastAsia="Times New Roman" w:cs="Times New Roman"/>
          <w:sz w:val="24"/>
          <w:szCs w:val="24"/>
          <w:lang w:eastAsia="hr-HR"/>
        </w:rPr>
        <w:tab/>
      </w:r>
      <w:r w:rsidRPr="009972E1">
        <w:rPr>
          <w:rFonts w:eastAsia="Times New Roman" w:cs="Times New Roman"/>
          <w:sz w:val="24"/>
          <w:szCs w:val="24"/>
          <w:lang w:eastAsia="hr-HR"/>
        </w:rPr>
        <w:tab/>
      </w:r>
      <w:r w:rsidRPr="009972E1">
        <w:rPr>
          <w:rFonts w:eastAsia="Times New Roman" w:cs="Times New Roman"/>
          <w:sz w:val="24"/>
          <w:szCs w:val="24"/>
          <w:lang w:eastAsia="hr-HR"/>
        </w:rPr>
        <w:tab/>
      </w:r>
    </w:p>
    <w:sectPr w:rsidR="004D0790" w:rsidRPr="009972E1" w:rsidSect="00056148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1E73D" w14:textId="77777777" w:rsidR="00BA6A1C" w:rsidRPr="005E3DE1" w:rsidRDefault="00BA6A1C" w:rsidP="005E3DE1">
      <w:r>
        <w:separator/>
      </w:r>
    </w:p>
  </w:endnote>
  <w:endnote w:type="continuationSeparator" w:id="0">
    <w:p w14:paraId="39517ADE" w14:textId="77777777" w:rsidR="00BA6A1C" w:rsidRPr="005E3DE1" w:rsidRDefault="00BA6A1C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4041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C40412" w14:textId="77777777" w:rsidR="00BA6A1C" w:rsidRDefault="00BA6A1C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14:paraId="7ADCD1EB" w14:textId="77777777" w:rsidR="00BA6A1C" w:rsidRDefault="00BA6A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212835"/>
      <w:docPartObj>
        <w:docPartGallery w:val="Page Numbers (Bottom of Page)"/>
        <w:docPartUnique/>
      </w:docPartObj>
    </w:sdtPr>
    <w:sdtEndPr/>
    <w:sdtContent>
      <w:sdt>
        <w:sdtPr>
          <w:id w:val="-669252405"/>
          <w:docPartObj>
            <w:docPartGallery w:val="Page Numbers (Top of Page)"/>
            <w:docPartUnique/>
          </w:docPartObj>
        </w:sdtPr>
        <w:sdtEndPr/>
        <w:sdtContent>
          <w:p w14:paraId="775ABF45" w14:textId="77777777" w:rsidR="00BA6A1C" w:rsidRDefault="00BA6A1C">
            <w:pPr>
              <w:pStyle w:val="Podnoje"/>
              <w:jc w:val="right"/>
            </w:pP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PAGE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  <w:r w:rsidRPr="002B79B2">
              <w:t xml:space="preserve"> / </w:t>
            </w: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NUMPAGES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68C009" w14:textId="77777777" w:rsidR="00BA6A1C" w:rsidRPr="00914A69" w:rsidRDefault="00BA6A1C" w:rsidP="00914A69">
    <w:pPr>
      <w:pStyle w:val="Podnoje"/>
      <w:jc w:val="right"/>
    </w:pPr>
  </w:p>
  <w:p w14:paraId="209C10C8" w14:textId="77777777" w:rsidR="00BA6A1C" w:rsidRDefault="00BA6A1C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673D8" w14:textId="77777777" w:rsidR="00BA6A1C" w:rsidRPr="005E3DE1" w:rsidRDefault="00BA6A1C" w:rsidP="005E3DE1">
      <w:r>
        <w:separator/>
      </w:r>
    </w:p>
  </w:footnote>
  <w:footnote w:type="continuationSeparator" w:id="0">
    <w:p w14:paraId="2C31E6D9" w14:textId="77777777" w:rsidR="00BA6A1C" w:rsidRPr="005E3DE1" w:rsidRDefault="00BA6A1C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0D5D" w14:textId="77777777" w:rsidR="00BA6A1C" w:rsidRDefault="00BA6A1C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78D5556" wp14:editId="540F82E2">
          <wp:simplePos x="0" y="0"/>
          <wp:positionH relativeFrom="page">
            <wp:posOffset>25786</wp:posOffset>
          </wp:positionH>
          <wp:positionV relativeFrom="paragraph">
            <wp:posOffset>-358720</wp:posOffset>
          </wp:positionV>
          <wp:extent cx="7543800" cy="1435735"/>
          <wp:effectExtent l="0" t="0" r="0" b="0"/>
          <wp:wrapThrough wrapText="bothSides">
            <wp:wrapPolygon edited="0">
              <wp:start x="0" y="0"/>
              <wp:lineTo x="0" y="21208"/>
              <wp:lineTo x="21545" y="21208"/>
              <wp:lineTo x="2154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LockQFSet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01301"/>
    <w:rsid w:val="00011976"/>
    <w:rsid w:val="00012540"/>
    <w:rsid w:val="00036082"/>
    <w:rsid w:val="00043A9A"/>
    <w:rsid w:val="00056148"/>
    <w:rsid w:val="00060229"/>
    <w:rsid w:val="00060E59"/>
    <w:rsid w:val="00083BBF"/>
    <w:rsid w:val="00083E37"/>
    <w:rsid w:val="000A58AD"/>
    <w:rsid w:val="000B5D49"/>
    <w:rsid w:val="000F0F8D"/>
    <w:rsid w:val="001078EF"/>
    <w:rsid w:val="0012182B"/>
    <w:rsid w:val="00121D63"/>
    <w:rsid w:val="0014568A"/>
    <w:rsid w:val="00146FB5"/>
    <w:rsid w:val="00150DF4"/>
    <w:rsid w:val="001511FF"/>
    <w:rsid w:val="00152068"/>
    <w:rsid w:val="001B7FB8"/>
    <w:rsid w:val="001F45AD"/>
    <w:rsid w:val="00203EE3"/>
    <w:rsid w:val="00217F6D"/>
    <w:rsid w:val="002226DA"/>
    <w:rsid w:val="00230998"/>
    <w:rsid w:val="00231BA3"/>
    <w:rsid w:val="0023368D"/>
    <w:rsid w:val="0023569B"/>
    <w:rsid w:val="00247230"/>
    <w:rsid w:val="00247431"/>
    <w:rsid w:val="002618B2"/>
    <w:rsid w:val="00264945"/>
    <w:rsid w:val="00271233"/>
    <w:rsid w:val="00287293"/>
    <w:rsid w:val="002A1D35"/>
    <w:rsid w:val="002B2763"/>
    <w:rsid w:val="002B497A"/>
    <w:rsid w:val="002B79B2"/>
    <w:rsid w:val="002B7A88"/>
    <w:rsid w:val="002E220A"/>
    <w:rsid w:val="002E42A2"/>
    <w:rsid w:val="002F4B6B"/>
    <w:rsid w:val="00302CC2"/>
    <w:rsid w:val="003244B3"/>
    <w:rsid w:val="00331F58"/>
    <w:rsid w:val="00367EEA"/>
    <w:rsid w:val="003773A3"/>
    <w:rsid w:val="00380094"/>
    <w:rsid w:val="0038009F"/>
    <w:rsid w:val="00385F6F"/>
    <w:rsid w:val="00390455"/>
    <w:rsid w:val="00397644"/>
    <w:rsid w:val="003A282E"/>
    <w:rsid w:val="003A35C2"/>
    <w:rsid w:val="003A5C3C"/>
    <w:rsid w:val="003B2756"/>
    <w:rsid w:val="003C33AC"/>
    <w:rsid w:val="003D51D6"/>
    <w:rsid w:val="003F2580"/>
    <w:rsid w:val="004022EB"/>
    <w:rsid w:val="0041716F"/>
    <w:rsid w:val="00422B41"/>
    <w:rsid w:val="004270CB"/>
    <w:rsid w:val="0043152C"/>
    <w:rsid w:val="00446612"/>
    <w:rsid w:val="00453FD0"/>
    <w:rsid w:val="00454D3C"/>
    <w:rsid w:val="004639AC"/>
    <w:rsid w:val="004703E5"/>
    <w:rsid w:val="004928DC"/>
    <w:rsid w:val="00493655"/>
    <w:rsid w:val="00495E1F"/>
    <w:rsid w:val="00496022"/>
    <w:rsid w:val="004A0B2F"/>
    <w:rsid w:val="004A0F78"/>
    <w:rsid w:val="004B318C"/>
    <w:rsid w:val="004C2BA6"/>
    <w:rsid w:val="004D02FC"/>
    <w:rsid w:val="004D0790"/>
    <w:rsid w:val="004E2D0D"/>
    <w:rsid w:val="004E4997"/>
    <w:rsid w:val="005136FF"/>
    <w:rsid w:val="005361CC"/>
    <w:rsid w:val="00540DB2"/>
    <w:rsid w:val="00557C9B"/>
    <w:rsid w:val="0056023A"/>
    <w:rsid w:val="00563DDC"/>
    <w:rsid w:val="00573C1A"/>
    <w:rsid w:val="00577CFE"/>
    <w:rsid w:val="00577E14"/>
    <w:rsid w:val="00587671"/>
    <w:rsid w:val="005878F9"/>
    <w:rsid w:val="005907F6"/>
    <w:rsid w:val="0059386A"/>
    <w:rsid w:val="005B457D"/>
    <w:rsid w:val="005C25BE"/>
    <w:rsid w:val="005E0BFC"/>
    <w:rsid w:val="005E3DE1"/>
    <w:rsid w:val="005E5AE8"/>
    <w:rsid w:val="00614303"/>
    <w:rsid w:val="0062153F"/>
    <w:rsid w:val="006256F8"/>
    <w:rsid w:val="006558AC"/>
    <w:rsid w:val="0065591C"/>
    <w:rsid w:val="00657DC4"/>
    <w:rsid w:val="006612CA"/>
    <w:rsid w:val="006733AF"/>
    <w:rsid w:val="006B0AB2"/>
    <w:rsid w:val="006B0F29"/>
    <w:rsid w:val="006B12EF"/>
    <w:rsid w:val="006C48B3"/>
    <w:rsid w:val="006C642F"/>
    <w:rsid w:val="006D052F"/>
    <w:rsid w:val="006E5AD8"/>
    <w:rsid w:val="006F2C95"/>
    <w:rsid w:val="006F30F1"/>
    <w:rsid w:val="006F3A56"/>
    <w:rsid w:val="00703883"/>
    <w:rsid w:val="00705BB9"/>
    <w:rsid w:val="00740765"/>
    <w:rsid w:val="007410D4"/>
    <w:rsid w:val="00753EC2"/>
    <w:rsid w:val="007773C8"/>
    <w:rsid w:val="0078577D"/>
    <w:rsid w:val="007A0A55"/>
    <w:rsid w:val="007B4810"/>
    <w:rsid w:val="007B642A"/>
    <w:rsid w:val="007C341D"/>
    <w:rsid w:val="007C710A"/>
    <w:rsid w:val="0080421E"/>
    <w:rsid w:val="008144FE"/>
    <w:rsid w:val="008349A5"/>
    <w:rsid w:val="00834AFA"/>
    <w:rsid w:val="008431FE"/>
    <w:rsid w:val="00850989"/>
    <w:rsid w:val="0085333B"/>
    <w:rsid w:val="00855F87"/>
    <w:rsid w:val="00857E57"/>
    <w:rsid w:val="008653C0"/>
    <w:rsid w:val="00870AA4"/>
    <w:rsid w:val="0088018E"/>
    <w:rsid w:val="00880466"/>
    <w:rsid w:val="008814FA"/>
    <w:rsid w:val="00882896"/>
    <w:rsid w:val="00890552"/>
    <w:rsid w:val="008937A7"/>
    <w:rsid w:val="008A6FEC"/>
    <w:rsid w:val="008C22FC"/>
    <w:rsid w:val="008D65BC"/>
    <w:rsid w:val="00905C29"/>
    <w:rsid w:val="00914A69"/>
    <w:rsid w:val="00915D2B"/>
    <w:rsid w:val="00934A35"/>
    <w:rsid w:val="00950FA9"/>
    <w:rsid w:val="009678BC"/>
    <w:rsid w:val="0098036D"/>
    <w:rsid w:val="00985748"/>
    <w:rsid w:val="0099604C"/>
    <w:rsid w:val="009972E1"/>
    <w:rsid w:val="009C4520"/>
    <w:rsid w:val="009D077F"/>
    <w:rsid w:val="009D616B"/>
    <w:rsid w:val="009E47F1"/>
    <w:rsid w:val="00A00387"/>
    <w:rsid w:val="00A175A0"/>
    <w:rsid w:val="00A36E8B"/>
    <w:rsid w:val="00A50DD1"/>
    <w:rsid w:val="00A51ADF"/>
    <w:rsid w:val="00A6563C"/>
    <w:rsid w:val="00A677D6"/>
    <w:rsid w:val="00A7087F"/>
    <w:rsid w:val="00A86268"/>
    <w:rsid w:val="00AA15D6"/>
    <w:rsid w:val="00AA2ED8"/>
    <w:rsid w:val="00AA6E26"/>
    <w:rsid w:val="00AB1FBD"/>
    <w:rsid w:val="00AC1CD3"/>
    <w:rsid w:val="00AC2E66"/>
    <w:rsid w:val="00AC703C"/>
    <w:rsid w:val="00AC77AB"/>
    <w:rsid w:val="00AD19AD"/>
    <w:rsid w:val="00AD7C2D"/>
    <w:rsid w:val="00AF234C"/>
    <w:rsid w:val="00B00BE0"/>
    <w:rsid w:val="00B02191"/>
    <w:rsid w:val="00B040DB"/>
    <w:rsid w:val="00B05C9D"/>
    <w:rsid w:val="00B1747F"/>
    <w:rsid w:val="00B456EC"/>
    <w:rsid w:val="00B456ED"/>
    <w:rsid w:val="00B46DDA"/>
    <w:rsid w:val="00B50966"/>
    <w:rsid w:val="00B5483C"/>
    <w:rsid w:val="00B7146D"/>
    <w:rsid w:val="00B85AC2"/>
    <w:rsid w:val="00BA45CE"/>
    <w:rsid w:val="00BA5B84"/>
    <w:rsid w:val="00BA6A1C"/>
    <w:rsid w:val="00BB266F"/>
    <w:rsid w:val="00BD57D1"/>
    <w:rsid w:val="00BD6EA8"/>
    <w:rsid w:val="00BE36E8"/>
    <w:rsid w:val="00BF16C6"/>
    <w:rsid w:val="00C11577"/>
    <w:rsid w:val="00C15E68"/>
    <w:rsid w:val="00C431CC"/>
    <w:rsid w:val="00C57074"/>
    <w:rsid w:val="00C62EA9"/>
    <w:rsid w:val="00C702AE"/>
    <w:rsid w:val="00C86956"/>
    <w:rsid w:val="00CA2878"/>
    <w:rsid w:val="00CA517D"/>
    <w:rsid w:val="00CA6D0E"/>
    <w:rsid w:val="00CD2E23"/>
    <w:rsid w:val="00CE090B"/>
    <w:rsid w:val="00CE32DA"/>
    <w:rsid w:val="00D22026"/>
    <w:rsid w:val="00D24B0A"/>
    <w:rsid w:val="00D4430E"/>
    <w:rsid w:val="00D51BA9"/>
    <w:rsid w:val="00D7220B"/>
    <w:rsid w:val="00DA0A80"/>
    <w:rsid w:val="00DB2250"/>
    <w:rsid w:val="00DB3337"/>
    <w:rsid w:val="00DC5CB4"/>
    <w:rsid w:val="00DF45F5"/>
    <w:rsid w:val="00E00F96"/>
    <w:rsid w:val="00E07716"/>
    <w:rsid w:val="00E1258D"/>
    <w:rsid w:val="00E210FB"/>
    <w:rsid w:val="00E234CC"/>
    <w:rsid w:val="00E35A1E"/>
    <w:rsid w:val="00E41FC4"/>
    <w:rsid w:val="00E4488A"/>
    <w:rsid w:val="00E61514"/>
    <w:rsid w:val="00E70D49"/>
    <w:rsid w:val="00E85760"/>
    <w:rsid w:val="00E91512"/>
    <w:rsid w:val="00E9674B"/>
    <w:rsid w:val="00EB0382"/>
    <w:rsid w:val="00EB5B6B"/>
    <w:rsid w:val="00EB5EE0"/>
    <w:rsid w:val="00F03A21"/>
    <w:rsid w:val="00F126D2"/>
    <w:rsid w:val="00F22B3E"/>
    <w:rsid w:val="00F2591C"/>
    <w:rsid w:val="00F32A6F"/>
    <w:rsid w:val="00F40901"/>
    <w:rsid w:val="00F5510E"/>
    <w:rsid w:val="00F8105E"/>
    <w:rsid w:val="00F87029"/>
    <w:rsid w:val="00FB256E"/>
    <w:rsid w:val="00FC0916"/>
    <w:rsid w:val="00FC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6881BC8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character" w:customStyle="1" w:styleId="zadanifontodlomka-000006">
    <w:name w:val="zadanifontodlomka-000006"/>
    <w:basedOn w:val="Zadanifontodlomka"/>
    <w:rsid w:val="00E234CC"/>
    <w:rPr>
      <w:rFonts w:ascii="Times New Roman" w:hAnsi="Times New Roman" w:cs="Times New Roman" w:hint="default"/>
      <w:b w:val="0"/>
      <w:bCs w:val="0"/>
    </w:rPr>
  </w:style>
  <w:style w:type="character" w:styleId="Referencakomentara">
    <w:name w:val="annotation reference"/>
    <w:basedOn w:val="Zadanifontodlomka"/>
    <w:uiPriority w:val="99"/>
    <w:semiHidden/>
    <w:unhideWhenUsed/>
    <w:rsid w:val="004270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270C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270C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270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27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7796-E746-4D31-AAC3-79F2F969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4859</Words>
  <Characters>27699</Characters>
  <Application>Microsoft Office Word</Application>
  <DocSecurity>0</DocSecurity>
  <Lines>230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32494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Hasanec</dc:creator>
  <cp:lastModifiedBy>Tatjana Marincel Borković</cp:lastModifiedBy>
  <cp:revision>4</cp:revision>
  <cp:lastPrinted>2014-03-25T07:28:00Z</cp:lastPrinted>
  <dcterms:created xsi:type="dcterms:W3CDTF">2024-07-04T06:21:00Z</dcterms:created>
  <dcterms:modified xsi:type="dcterms:W3CDTF">2024-07-04T06:27:00Z</dcterms:modified>
</cp:coreProperties>
</file>