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0D9D" w:rsidRPr="00A8731A" w:rsidRDefault="00010D9D" w:rsidP="00010D9D">
      <w:pPr>
        <w:jc w:val="both"/>
        <w:rPr>
          <w:rFonts w:cs="Times New Roman"/>
        </w:rPr>
      </w:pPr>
      <w:r w:rsidRPr="00A8731A">
        <w:rPr>
          <w:rFonts w:cs="Times New Roman"/>
        </w:rPr>
        <w:t xml:space="preserve">Naziv proračunskog korisnika: </w:t>
      </w:r>
      <w:r w:rsidRPr="00A8731A">
        <w:rPr>
          <w:rFonts w:cs="Times New Roman"/>
          <w:b/>
        </w:rPr>
        <w:t>Nacionalna i sveučilišna knjižnica u Zagrebu (NSK)</w:t>
      </w:r>
    </w:p>
    <w:p w:rsidR="00010D9D" w:rsidRPr="00A8731A" w:rsidRDefault="00010D9D" w:rsidP="00010D9D">
      <w:pPr>
        <w:jc w:val="both"/>
        <w:rPr>
          <w:rFonts w:cs="Times New Roman"/>
        </w:rPr>
      </w:pPr>
      <w:r w:rsidRPr="00A8731A">
        <w:rPr>
          <w:rFonts w:cs="Times New Roman"/>
        </w:rPr>
        <w:t xml:space="preserve">RKP broj: </w:t>
      </w:r>
      <w:r w:rsidRPr="00A8731A">
        <w:rPr>
          <w:rFonts w:cs="Times New Roman"/>
          <w:b/>
        </w:rPr>
        <w:t>21836</w:t>
      </w:r>
    </w:p>
    <w:p w:rsidR="00010D9D" w:rsidRPr="00A8731A" w:rsidRDefault="00010D9D" w:rsidP="00010D9D">
      <w:pPr>
        <w:jc w:val="both"/>
        <w:rPr>
          <w:rFonts w:cs="Times New Roman"/>
        </w:rPr>
      </w:pPr>
      <w:r w:rsidRPr="00A8731A">
        <w:rPr>
          <w:rFonts w:cs="Times New Roman"/>
        </w:rPr>
        <w:t>Adresa: Zagreb, Hrvatske bratske zajednice 4</w:t>
      </w:r>
    </w:p>
    <w:p w:rsidR="00010D9D" w:rsidRPr="00A8731A" w:rsidRDefault="00010D9D" w:rsidP="00010D9D">
      <w:pPr>
        <w:jc w:val="both"/>
        <w:rPr>
          <w:rFonts w:cs="Times New Roman"/>
        </w:rPr>
      </w:pPr>
      <w:r w:rsidRPr="00A8731A">
        <w:rPr>
          <w:rFonts w:cs="Times New Roman"/>
        </w:rPr>
        <w:t>OIB: 84838770814</w:t>
      </w:r>
    </w:p>
    <w:p w:rsidR="00010D9D" w:rsidRPr="00A8731A" w:rsidRDefault="00010D9D" w:rsidP="00010D9D">
      <w:pPr>
        <w:jc w:val="both"/>
        <w:rPr>
          <w:rFonts w:cs="Times New Roman"/>
        </w:rPr>
      </w:pPr>
      <w:r w:rsidRPr="00A8731A">
        <w:rPr>
          <w:rFonts w:cs="Times New Roman"/>
        </w:rPr>
        <w:t>IBAN broj: HR66234 0009 11 000 1000 81</w:t>
      </w:r>
    </w:p>
    <w:p w:rsidR="00010D9D" w:rsidRPr="00A8731A" w:rsidRDefault="00010D9D" w:rsidP="00010D9D">
      <w:pPr>
        <w:jc w:val="both"/>
        <w:rPr>
          <w:rFonts w:cs="Times New Roman"/>
        </w:rPr>
      </w:pPr>
      <w:r w:rsidRPr="00A8731A">
        <w:rPr>
          <w:rFonts w:cs="Times New Roman"/>
        </w:rPr>
        <w:t>Šifra djelatnosti: 9101</w:t>
      </w:r>
    </w:p>
    <w:p w:rsidR="00010D9D" w:rsidRPr="00A8731A" w:rsidRDefault="00010D9D" w:rsidP="00010D9D">
      <w:pPr>
        <w:jc w:val="both"/>
        <w:rPr>
          <w:rFonts w:cs="Times New Roman"/>
        </w:rPr>
      </w:pPr>
      <w:r w:rsidRPr="00A8731A">
        <w:rPr>
          <w:rFonts w:cs="Times New Roman"/>
        </w:rPr>
        <w:t>Odgovorna osoba: prof. dr. sc. Ivanka Stričević</w:t>
      </w:r>
    </w:p>
    <w:p w:rsidR="001E54EA" w:rsidRPr="00A8731A" w:rsidRDefault="001E54EA" w:rsidP="00010D9D">
      <w:pPr>
        <w:jc w:val="both"/>
        <w:rPr>
          <w:rFonts w:cs="Times New Roman"/>
        </w:rPr>
      </w:pPr>
    </w:p>
    <w:p w:rsidR="001E54EA" w:rsidRPr="00A8731A" w:rsidRDefault="001E54EA" w:rsidP="001E54EA">
      <w:pPr>
        <w:jc w:val="center"/>
        <w:rPr>
          <w:rFonts w:cs="Times New Roman"/>
          <w:b/>
        </w:rPr>
      </w:pPr>
      <w:r w:rsidRPr="00A8731A">
        <w:rPr>
          <w:rFonts w:cs="Times New Roman"/>
        </w:rPr>
        <w:tab/>
      </w:r>
      <w:r w:rsidRPr="00A8731A">
        <w:rPr>
          <w:rFonts w:cs="Times New Roman"/>
          <w:b/>
        </w:rPr>
        <w:t>OBRAZLOŽENJE OPĆEG DIJELA</w:t>
      </w:r>
    </w:p>
    <w:p w:rsidR="00010D9D" w:rsidRPr="00A8731A" w:rsidRDefault="00010D9D" w:rsidP="00010D9D">
      <w:pPr>
        <w:rPr>
          <w:rFonts w:cs="Times New Roman"/>
        </w:rPr>
      </w:pPr>
    </w:p>
    <w:p w:rsidR="00010D9D" w:rsidRPr="00A8731A" w:rsidRDefault="001E54EA" w:rsidP="005F33C6">
      <w:pPr>
        <w:jc w:val="both"/>
        <w:rPr>
          <w:rFonts w:cs="Times New Roman"/>
        </w:rPr>
      </w:pPr>
      <w:r w:rsidRPr="00A8731A">
        <w:rPr>
          <w:rFonts w:cs="Times New Roman"/>
        </w:rPr>
        <w:t xml:space="preserve">U skladu s člankom 36. Zakona o proračunu (NN 144/21), Nacionalna i sveučilišna knjižnica u Zagrebu izradila je obrazloženje općeg dijela </w:t>
      </w:r>
      <w:r w:rsidR="00A71032">
        <w:rPr>
          <w:rFonts w:cs="Times New Roman"/>
        </w:rPr>
        <w:t>F</w:t>
      </w:r>
      <w:r w:rsidRPr="00A8731A">
        <w:rPr>
          <w:rFonts w:cs="Times New Roman"/>
        </w:rPr>
        <w:t>inancijskog plana</w:t>
      </w:r>
      <w:r w:rsidR="00A71032">
        <w:rPr>
          <w:rFonts w:cs="Times New Roman"/>
        </w:rPr>
        <w:t xml:space="preserve"> NSK za 2024. godinu i projekcij</w:t>
      </w:r>
      <w:r w:rsidR="00D20E2D">
        <w:rPr>
          <w:rFonts w:cs="Times New Roman"/>
        </w:rPr>
        <w:t>e</w:t>
      </w:r>
      <w:r w:rsidR="00A71032">
        <w:rPr>
          <w:rFonts w:cs="Times New Roman"/>
        </w:rPr>
        <w:t xml:space="preserve"> za 2025. i 2026. godinu.</w:t>
      </w:r>
    </w:p>
    <w:p w:rsidR="001E54EA" w:rsidRPr="00A8731A" w:rsidRDefault="001E54EA" w:rsidP="005F33C6">
      <w:pPr>
        <w:jc w:val="both"/>
        <w:rPr>
          <w:rFonts w:cs="Times New Roman"/>
        </w:rPr>
      </w:pPr>
      <w:r w:rsidRPr="00A8731A">
        <w:rPr>
          <w:rFonts w:cs="Times New Roman"/>
        </w:rPr>
        <w:t xml:space="preserve">Obrazloženjem se daje opća slika ukupnih prihoda i rashoda, primitaka i izdataka, donosa sredstava iz prethodne godine te odnosa u slijedeću godinu te stanje ukupnih dospjelih obveza. </w:t>
      </w:r>
    </w:p>
    <w:p w:rsidR="00010D9D" w:rsidRPr="00A8731A" w:rsidRDefault="00010D9D" w:rsidP="00010D9D">
      <w:pPr>
        <w:rPr>
          <w:rFonts w:cs="Times New Roman"/>
        </w:rPr>
      </w:pPr>
    </w:p>
    <w:p w:rsidR="00010D9D" w:rsidRPr="00A8731A" w:rsidRDefault="00010D9D" w:rsidP="00010D9D">
      <w:pPr>
        <w:rPr>
          <w:rFonts w:cs="Times New Roman"/>
          <w:b/>
        </w:rPr>
      </w:pPr>
      <w:r w:rsidRPr="00A8731A">
        <w:rPr>
          <w:rFonts w:cs="Times New Roman"/>
          <w:b/>
        </w:rPr>
        <w:t>PRIHODI I PRIMITCI</w:t>
      </w:r>
    </w:p>
    <w:p w:rsidR="00010D9D" w:rsidRPr="00A8731A" w:rsidRDefault="00010D9D" w:rsidP="00010D9D">
      <w:pPr>
        <w:rPr>
          <w:rFonts w:cs="Times New Roman"/>
          <w:b/>
        </w:rPr>
      </w:pPr>
    </w:p>
    <w:p w:rsidR="00BB1B41" w:rsidRPr="00A8731A" w:rsidRDefault="00BB1B41" w:rsidP="00010D9D">
      <w:pPr>
        <w:jc w:val="both"/>
        <w:rPr>
          <w:rFonts w:cs="Times New Roman"/>
        </w:rPr>
      </w:pPr>
      <w:r w:rsidRPr="00A8731A">
        <w:rPr>
          <w:rFonts w:cs="Times New Roman"/>
        </w:rPr>
        <w:t>Nacionalna i sveučilišna knjižnica u Zagrebu ostvaruje prihode na slijedećim aktivnostima:</w:t>
      </w:r>
    </w:p>
    <w:p w:rsidR="00BB1B41" w:rsidRPr="00A8731A" w:rsidRDefault="00BB1B41" w:rsidP="001357E2">
      <w:pPr>
        <w:pStyle w:val="Odlomakpopisa"/>
        <w:numPr>
          <w:ilvl w:val="0"/>
          <w:numId w:val="6"/>
        </w:numPr>
        <w:jc w:val="both"/>
        <w:rPr>
          <w:rFonts w:cs="Times New Roman"/>
        </w:rPr>
      </w:pPr>
      <w:r w:rsidRPr="00A8731A">
        <w:rPr>
          <w:rFonts w:cs="Times New Roman"/>
        </w:rPr>
        <w:t>A622017 Administracija i upravljanje Nacionalne i sveučilišne knjižnice</w:t>
      </w:r>
      <w:r w:rsidR="001357E2" w:rsidRPr="00A8731A">
        <w:rPr>
          <w:rFonts w:cs="Times New Roman"/>
        </w:rPr>
        <w:t xml:space="preserve"> – </w:t>
      </w:r>
      <w:r w:rsidR="002D5374" w:rsidRPr="00A8731A">
        <w:rPr>
          <w:rFonts w:cs="Times New Roman"/>
        </w:rPr>
        <w:t>izvor 11 Opći prihodi i primitci,</w:t>
      </w:r>
    </w:p>
    <w:p w:rsidR="002D5374" w:rsidRPr="00A8731A" w:rsidRDefault="00BB1B41" w:rsidP="001357E2">
      <w:pPr>
        <w:pStyle w:val="Odlomakpopisa"/>
        <w:numPr>
          <w:ilvl w:val="0"/>
          <w:numId w:val="6"/>
        </w:numPr>
        <w:jc w:val="both"/>
        <w:rPr>
          <w:rFonts w:cs="Times New Roman"/>
        </w:rPr>
      </w:pPr>
      <w:r w:rsidRPr="00A8731A">
        <w:rPr>
          <w:rFonts w:cs="Times New Roman"/>
        </w:rPr>
        <w:t>A622134 Administracija i upravljanje Nacionalne i sveučilišne knjižnice (iz evidencijskih prihoda)</w:t>
      </w:r>
      <w:r w:rsidR="001357E2" w:rsidRPr="00A8731A">
        <w:rPr>
          <w:rFonts w:cs="Times New Roman"/>
        </w:rPr>
        <w:t xml:space="preserve"> –</w:t>
      </w:r>
      <w:r w:rsidRPr="00A8731A">
        <w:rPr>
          <w:rFonts w:cs="Times New Roman"/>
        </w:rPr>
        <w:t xml:space="preserve"> izvori: 31 Vlastiti prihodi, 43 Ostali prihodi za posebne namjene</w:t>
      </w:r>
      <w:r w:rsidR="002D5374" w:rsidRPr="00A8731A">
        <w:rPr>
          <w:rFonts w:cs="Times New Roman"/>
        </w:rPr>
        <w:t>, 52 Ostale pomoći.</w:t>
      </w:r>
    </w:p>
    <w:p w:rsidR="002D5374" w:rsidRPr="00A8731A" w:rsidRDefault="002D5374" w:rsidP="001357E2">
      <w:pPr>
        <w:pStyle w:val="Odlomakpopisa"/>
        <w:numPr>
          <w:ilvl w:val="0"/>
          <w:numId w:val="6"/>
        </w:numPr>
        <w:jc w:val="both"/>
        <w:rPr>
          <w:rFonts w:cs="Times New Roman"/>
        </w:rPr>
      </w:pPr>
      <w:r w:rsidRPr="00A8731A">
        <w:rPr>
          <w:rFonts w:cs="Times New Roman"/>
        </w:rPr>
        <w:t xml:space="preserve">A622131 Nabava inozemnih znanstvenih časopisa </w:t>
      </w:r>
      <w:r w:rsidR="001357E2" w:rsidRPr="00A8731A">
        <w:rPr>
          <w:rFonts w:cs="Times New Roman"/>
        </w:rPr>
        <w:t xml:space="preserve">– </w:t>
      </w:r>
      <w:r w:rsidRPr="00A8731A">
        <w:rPr>
          <w:rFonts w:cs="Times New Roman"/>
        </w:rPr>
        <w:t>izvor 11 Opći prihodi i primitci,</w:t>
      </w:r>
    </w:p>
    <w:p w:rsidR="002D5374" w:rsidRPr="00A8731A" w:rsidRDefault="002D5374" w:rsidP="001357E2">
      <w:pPr>
        <w:pStyle w:val="Odlomakpopisa"/>
        <w:numPr>
          <w:ilvl w:val="0"/>
          <w:numId w:val="6"/>
        </w:numPr>
        <w:jc w:val="both"/>
        <w:rPr>
          <w:rFonts w:cs="Times New Roman"/>
        </w:rPr>
      </w:pPr>
      <w:r w:rsidRPr="00A8731A">
        <w:rPr>
          <w:rFonts w:cs="Times New Roman"/>
        </w:rPr>
        <w:t>K622116 Knjige, umjetnička djela i ostale izložbene vrijednosti</w:t>
      </w:r>
      <w:r w:rsidR="001357E2" w:rsidRPr="00A8731A">
        <w:rPr>
          <w:rFonts w:cs="Times New Roman"/>
        </w:rPr>
        <w:t xml:space="preserve"> –</w:t>
      </w:r>
      <w:r w:rsidRPr="00A8731A">
        <w:rPr>
          <w:rFonts w:cs="Times New Roman"/>
        </w:rPr>
        <w:t xml:space="preserve"> izvori: 11 Opći prihodi i primitci i 31 Vlastiti prihodi,</w:t>
      </w:r>
    </w:p>
    <w:p w:rsidR="002D5374" w:rsidRPr="00A8731A" w:rsidRDefault="002D5374" w:rsidP="001357E2">
      <w:pPr>
        <w:pStyle w:val="Odlomakpopisa"/>
        <w:numPr>
          <w:ilvl w:val="0"/>
          <w:numId w:val="6"/>
        </w:numPr>
        <w:jc w:val="both"/>
        <w:rPr>
          <w:rFonts w:cs="Times New Roman"/>
        </w:rPr>
      </w:pPr>
      <w:r w:rsidRPr="00A8731A">
        <w:rPr>
          <w:rFonts w:cs="Times New Roman"/>
        </w:rPr>
        <w:t>K622147 Projekt e-Sveučilišta – NPOO (C3.1.R2-I1)</w:t>
      </w:r>
      <w:r w:rsidR="001357E2" w:rsidRPr="00A8731A">
        <w:rPr>
          <w:rFonts w:cs="Times New Roman"/>
        </w:rPr>
        <w:t xml:space="preserve"> – izvor 581 Mehanizam za oporavak i otpornost</w:t>
      </w:r>
    </w:p>
    <w:p w:rsidR="001357E2" w:rsidRPr="00A8731A" w:rsidRDefault="001357E2" w:rsidP="001357E2">
      <w:pPr>
        <w:pStyle w:val="Odlomakpopisa"/>
        <w:numPr>
          <w:ilvl w:val="0"/>
          <w:numId w:val="6"/>
        </w:numPr>
        <w:jc w:val="both"/>
        <w:rPr>
          <w:rFonts w:cs="Times New Roman"/>
        </w:rPr>
      </w:pPr>
      <w:r w:rsidRPr="00A8731A">
        <w:rPr>
          <w:rFonts w:cs="Times New Roman"/>
        </w:rPr>
        <w:t>A622145 Pravomoćne sudske presude – izvor 11 Opći prihodi i primitci.</w:t>
      </w:r>
    </w:p>
    <w:p w:rsidR="002D5374" w:rsidRPr="00A8731A" w:rsidRDefault="002D5374" w:rsidP="00010D9D">
      <w:pPr>
        <w:jc w:val="both"/>
        <w:rPr>
          <w:rFonts w:cs="Times New Roman"/>
        </w:rPr>
      </w:pPr>
    </w:p>
    <w:p w:rsidR="0013313B" w:rsidRPr="00A8731A" w:rsidRDefault="00010D9D" w:rsidP="00010D9D">
      <w:pPr>
        <w:jc w:val="both"/>
        <w:rPr>
          <w:rFonts w:cs="Times New Roman"/>
        </w:rPr>
      </w:pPr>
      <w:r w:rsidRPr="00A8731A">
        <w:rPr>
          <w:rFonts w:cs="Times New Roman"/>
        </w:rPr>
        <w:t xml:space="preserve">Ukupno planirani prihodi </w:t>
      </w:r>
      <w:r w:rsidR="00594123" w:rsidRPr="00A8731A">
        <w:rPr>
          <w:rFonts w:cs="Times New Roman"/>
        </w:rPr>
        <w:t>za 2024. godinu iznose 18.032.1</w:t>
      </w:r>
      <w:r w:rsidR="00061950">
        <w:rPr>
          <w:rFonts w:cs="Times New Roman"/>
        </w:rPr>
        <w:t>1</w:t>
      </w:r>
      <w:r w:rsidR="00594123" w:rsidRPr="00A8731A">
        <w:rPr>
          <w:rFonts w:cs="Times New Roman"/>
        </w:rPr>
        <w:t xml:space="preserve">4 eura. Najznačajniji prihodi planiraju se na redovnoj aktivnosti A622017 i oni su namijenjeni za podmirenje </w:t>
      </w:r>
      <w:r w:rsidR="0013313B" w:rsidRPr="00A8731A">
        <w:rPr>
          <w:rFonts w:cs="Times New Roman"/>
        </w:rPr>
        <w:t>rashoda i izdataka za zaposlenike te materijalnih i financijskih rashoda redovne djelatnosti NSK. Povećanje prihoda po ovoj aktivnosti rezultat je povećanja prava</w:t>
      </w:r>
      <w:r w:rsidR="00061950">
        <w:rPr>
          <w:rFonts w:cs="Times New Roman"/>
        </w:rPr>
        <w:t xml:space="preserve"> </w:t>
      </w:r>
      <w:r w:rsidR="0013313B" w:rsidRPr="00A8731A">
        <w:rPr>
          <w:rFonts w:cs="Times New Roman"/>
        </w:rPr>
        <w:t xml:space="preserve"> po Kolektivnom  ugovoru za zaposlenike i namještenike u javnim službama te povećanju cijena svih usluga i roba koje NSK </w:t>
      </w:r>
      <w:r w:rsidR="006027B4">
        <w:rPr>
          <w:rFonts w:cs="Times New Roman"/>
        </w:rPr>
        <w:t xml:space="preserve">nabavlja na tržištu za </w:t>
      </w:r>
      <w:r w:rsidR="0013313B" w:rsidRPr="00A8731A">
        <w:rPr>
          <w:rFonts w:cs="Times New Roman"/>
        </w:rPr>
        <w:t>redovno poslovanj</w:t>
      </w:r>
      <w:r w:rsidR="006027B4">
        <w:rPr>
          <w:rFonts w:cs="Times New Roman"/>
        </w:rPr>
        <w:t>e</w:t>
      </w:r>
      <w:r w:rsidR="0013313B" w:rsidRPr="00A8731A">
        <w:rPr>
          <w:rFonts w:cs="Times New Roman"/>
        </w:rPr>
        <w:t xml:space="preserve">. Projekcije </w:t>
      </w:r>
      <w:r w:rsidR="006027B4">
        <w:rPr>
          <w:rFonts w:cs="Times New Roman"/>
        </w:rPr>
        <w:t xml:space="preserve">plana </w:t>
      </w:r>
      <w:r w:rsidR="0013313B" w:rsidRPr="00A8731A">
        <w:rPr>
          <w:rFonts w:cs="Times New Roman"/>
        </w:rPr>
        <w:t xml:space="preserve">za 2025. i 2026. godinu nastavljaju </w:t>
      </w:r>
      <w:r w:rsidR="00070932">
        <w:rPr>
          <w:rFonts w:cs="Times New Roman"/>
        </w:rPr>
        <w:t xml:space="preserve">se na </w:t>
      </w:r>
      <w:r w:rsidR="0013313B" w:rsidRPr="00A8731A">
        <w:rPr>
          <w:rFonts w:cs="Times New Roman"/>
        </w:rPr>
        <w:t>trend planiranih prihoda po ovoj aktivnosti.</w:t>
      </w:r>
    </w:p>
    <w:p w:rsidR="0013313B" w:rsidRPr="00A8731A" w:rsidRDefault="0013313B" w:rsidP="00010D9D">
      <w:pPr>
        <w:jc w:val="both"/>
        <w:rPr>
          <w:rFonts w:cs="Times New Roman"/>
        </w:rPr>
      </w:pPr>
      <w:r w:rsidRPr="00A8731A">
        <w:rPr>
          <w:rFonts w:cs="Times New Roman"/>
        </w:rPr>
        <w:t xml:space="preserve">Na aktivnosti A622134 planiraju se prihodi koje NSK ostvaruje temeljem posebnih propisa i sufinanciranja cijena usluge (upisnine, </w:t>
      </w:r>
      <w:proofErr w:type="spellStart"/>
      <w:r w:rsidRPr="00A8731A">
        <w:rPr>
          <w:rFonts w:cs="Times New Roman"/>
        </w:rPr>
        <w:t>zakasnine</w:t>
      </w:r>
      <w:proofErr w:type="spellEnd"/>
      <w:r w:rsidRPr="00A8731A">
        <w:rPr>
          <w:rFonts w:cs="Times New Roman"/>
        </w:rPr>
        <w:t>) te zakupa i najma prostora.</w:t>
      </w:r>
      <w:r w:rsidR="006027B4">
        <w:rPr>
          <w:rFonts w:cs="Times New Roman"/>
        </w:rPr>
        <w:t xml:space="preserve"> Osim ovih prihoda tijekom godine NSK ostvaruje prihode po izvoru Ostale pomoći koji se iskazuju kada su ugov</w:t>
      </w:r>
      <w:r w:rsidR="00070932">
        <w:rPr>
          <w:rFonts w:cs="Times New Roman"/>
        </w:rPr>
        <w:t>o</w:t>
      </w:r>
      <w:r w:rsidR="006027B4">
        <w:rPr>
          <w:rFonts w:cs="Times New Roman"/>
        </w:rPr>
        <w:t xml:space="preserve">reni. Najvećim dijelom to su prihodi temeljem odobrenih projekata Ministarstva kulture i medija. </w:t>
      </w:r>
      <w:r w:rsidR="00070932" w:rsidRPr="00A8731A">
        <w:rPr>
          <w:rFonts w:cs="Times New Roman"/>
        </w:rPr>
        <w:t xml:space="preserve">Projekcije </w:t>
      </w:r>
      <w:r w:rsidR="00070932">
        <w:rPr>
          <w:rFonts w:cs="Times New Roman"/>
        </w:rPr>
        <w:t xml:space="preserve">plana </w:t>
      </w:r>
      <w:r w:rsidR="00070932" w:rsidRPr="00A8731A">
        <w:rPr>
          <w:rFonts w:cs="Times New Roman"/>
        </w:rPr>
        <w:t xml:space="preserve">za 2025. i 2026. godinu nastavljaju </w:t>
      </w:r>
      <w:r w:rsidR="00070932">
        <w:rPr>
          <w:rFonts w:cs="Times New Roman"/>
        </w:rPr>
        <w:t xml:space="preserve">se na </w:t>
      </w:r>
      <w:r w:rsidR="00070932" w:rsidRPr="00A8731A">
        <w:rPr>
          <w:rFonts w:cs="Times New Roman"/>
        </w:rPr>
        <w:t>trend planiranih prihoda po ovoj aktivnosti.</w:t>
      </w:r>
    </w:p>
    <w:p w:rsidR="0013313B" w:rsidRPr="00A8731A" w:rsidRDefault="0013313B" w:rsidP="00010D9D">
      <w:pPr>
        <w:jc w:val="both"/>
        <w:rPr>
          <w:rFonts w:cs="Times New Roman"/>
        </w:rPr>
      </w:pPr>
      <w:r w:rsidRPr="00A8731A">
        <w:rPr>
          <w:rFonts w:cs="Times New Roman"/>
        </w:rPr>
        <w:t xml:space="preserve">Na aktivnosti A622131 NSK planira prihode za nabavu jednogodišnjih pretplata na </w:t>
      </w:r>
      <w:r w:rsidR="006027B4">
        <w:rPr>
          <w:rFonts w:cs="Times New Roman"/>
        </w:rPr>
        <w:t xml:space="preserve">znanstvene </w:t>
      </w:r>
      <w:r w:rsidRPr="00A8731A">
        <w:rPr>
          <w:rFonts w:cs="Times New Roman"/>
        </w:rPr>
        <w:t xml:space="preserve">elektroničke časopise i baze podataka. Procjena ovih prihoda je u skladu s očekivanim </w:t>
      </w:r>
      <w:r w:rsidR="00A8731A" w:rsidRPr="00A8731A">
        <w:rPr>
          <w:rFonts w:cs="Times New Roman"/>
        </w:rPr>
        <w:t>godišnjim po</w:t>
      </w:r>
      <w:r w:rsidRPr="00A8731A">
        <w:rPr>
          <w:rFonts w:cs="Times New Roman"/>
        </w:rPr>
        <w:t>ras</w:t>
      </w:r>
      <w:r w:rsidR="00A8731A" w:rsidRPr="00A8731A">
        <w:rPr>
          <w:rFonts w:cs="Times New Roman"/>
        </w:rPr>
        <w:t>t</w:t>
      </w:r>
      <w:r w:rsidRPr="00A8731A">
        <w:rPr>
          <w:rFonts w:cs="Times New Roman"/>
        </w:rPr>
        <w:t xml:space="preserve">om cijena </w:t>
      </w:r>
      <w:r w:rsidR="00A8731A" w:rsidRPr="00A8731A">
        <w:rPr>
          <w:rFonts w:cs="Times New Roman"/>
        </w:rPr>
        <w:t xml:space="preserve">pretplata. </w:t>
      </w:r>
    </w:p>
    <w:p w:rsidR="00061950" w:rsidRDefault="00A8731A" w:rsidP="00010D9D">
      <w:pPr>
        <w:jc w:val="both"/>
        <w:rPr>
          <w:rFonts w:cs="Times New Roman"/>
        </w:rPr>
      </w:pPr>
      <w:r w:rsidRPr="00A8731A">
        <w:rPr>
          <w:rFonts w:cs="Times New Roman"/>
        </w:rPr>
        <w:t xml:space="preserve">Na kapitalnoj aktivnosti K622116 NSK planira nabavu za izgradnju fonda NSK. </w:t>
      </w:r>
      <w:r w:rsidR="006027B4">
        <w:rPr>
          <w:rFonts w:cs="Times New Roman"/>
        </w:rPr>
        <w:t>Planirani prihodi na ovoj aktivnosti su najvećim dijelom iz izvora</w:t>
      </w:r>
      <w:r w:rsidRPr="00A8731A">
        <w:rPr>
          <w:rFonts w:cs="Times New Roman"/>
        </w:rPr>
        <w:t xml:space="preserve"> Opći prihodi i primitci</w:t>
      </w:r>
      <w:r w:rsidR="006027B4">
        <w:rPr>
          <w:rFonts w:cs="Times New Roman"/>
        </w:rPr>
        <w:t xml:space="preserve">, a jedan manji </w:t>
      </w:r>
      <w:r w:rsidRPr="00A8731A">
        <w:rPr>
          <w:rFonts w:cs="Times New Roman"/>
        </w:rPr>
        <w:t>dio</w:t>
      </w:r>
      <w:r w:rsidR="006027B4">
        <w:rPr>
          <w:rFonts w:cs="Times New Roman"/>
        </w:rPr>
        <w:t xml:space="preserve"> je</w:t>
      </w:r>
      <w:r w:rsidRPr="00A8731A">
        <w:rPr>
          <w:rFonts w:cs="Times New Roman"/>
        </w:rPr>
        <w:t xml:space="preserve"> vlastitih prihoda NSK</w:t>
      </w:r>
      <w:r w:rsidR="00061950">
        <w:rPr>
          <w:rFonts w:cs="Times New Roman"/>
        </w:rPr>
        <w:t>.</w:t>
      </w:r>
      <w:r w:rsidR="00061950" w:rsidRPr="00061950">
        <w:rPr>
          <w:rFonts w:cs="Times New Roman"/>
        </w:rPr>
        <w:t xml:space="preserve"> </w:t>
      </w:r>
      <w:r w:rsidR="00061950" w:rsidRPr="00A8731A">
        <w:rPr>
          <w:rFonts w:cs="Times New Roman"/>
        </w:rPr>
        <w:t xml:space="preserve">Projekcije </w:t>
      </w:r>
      <w:r w:rsidR="00061950">
        <w:rPr>
          <w:rFonts w:cs="Times New Roman"/>
        </w:rPr>
        <w:t xml:space="preserve">plana </w:t>
      </w:r>
      <w:r w:rsidR="00061950" w:rsidRPr="00A8731A">
        <w:rPr>
          <w:rFonts w:cs="Times New Roman"/>
        </w:rPr>
        <w:t xml:space="preserve">za 2025. i 2026. godinu nastavljaju </w:t>
      </w:r>
      <w:r w:rsidR="00061950">
        <w:rPr>
          <w:rFonts w:cs="Times New Roman"/>
        </w:rPr>
        <w:t xml:space="preserve">se na </w:t>
      </w:r>
      <w:r w:rsidR="00061950" w:rsidRPr="00A8731A">
        <w:rPr>
          <w:rFonts w:cs="Times New Roman"/>
        </w:rPr>
        <w:t>trend planiranih prihoda po ovoj aktivnosti.</w:t>
      </w:r>
    </w:p>
    <w:p w:rsidR="00A8731A" w:rsidRPr="00A8731A" w:rsidRDefault="00A8731A" w:rsidP="00010D9D">
      <w:pPr>
        <w:jc w:val="both"/>
        <w:rPr>
          <w:rFonts w:cs="Times New Roman"/>
        </w:rPr>
      </w:pPr>
      <w:r w:rsidRPr="00A8731A">
        <w:rPr>
          <w:rFonts w:cs="Times New Roman"/>
        </w:rPr>
        <w:lastRenderedPageBreak/>
        <w:t>Na kapitalnoj aktivnosti K622147 planirani su prihodi projekta e-Sveučilišta gdje NSK sudjeluje kao partnerska organizacija u projektu „e-Sveučilišta“ (NPOO C3.1.R2-I1.01), uz CARNET, Srce i AZVO i zadužena je za provedbu aktivnosti unaprjeđenja knjižnično-informacijskog sustava knjižnica visokog obrazovanja i znanosti implementacijom platforme knjižničnih usluga te izgradnje hrvatskoga visokoškolskog knjižničnog sustava u oblaku. U projektnu aktivnost NSK uključene su sve članice Integriranoga knjižničnog sustava temeljenog na zajedničkom knjižničnom programu koje se obvezuju surađivati s NSK u skladu s planiranim projektnim aktivnostima iz Ugovora o dodjeli bespovratnih sredstava za projekte koji se financiraju iz mehanizma za oporavak i otpornost NPOO.C3.1.R2-I1.01.0001 (KLASA: 100-700/23/332, URBROJ: 183801-650-398-23-44, od 15. rujna 2023.)</w:t>
      </w:r>
      <w:r w:rsidR="006027B4">
        <w:rPr>
          <w:rFonts w:cs="Times New Roman"/>
        </w:rPr>
        <w:t xml:space="preserve"> Planirani prihodi po ovoj aktivnosti očekuju se i 2025. godine.</w:t>
      </w:r>
    </w:p>
    <w:p w:rsidR="00A8731A" w:rsidRPr="00A8731A" w:rsidRDefault="00A8731A" w:rsidP="00010D9D">
      <w:pPr>
        <w:jc w:val="both"/>
        <w:rPr>
          <w:rFonts w:cs="Times New Roman"/>
        </w:rPr>
      </w:pPr>
      <w:r>
        <w:rPr>
          <w:rFonts w:cs="Times New Roman"/>
        </w:rPr>
        <w:t xml:space="preserve">Na aktivnosti </w:t>
      </w:r>
      <w:r w:rsidRPr="00A8731A">
        <w:rPr>
          <w:rFonts w:cs="Times New Roman"/>
        </w:rPr>
        <w:t>A622145</w:t>
      </w:r>
      <w:r>
        <w:rPr>
          <w:rFonts w:cs="Times New Roman"/>
        </w:rPr>
        <w:t xml:space="preserve"> planirani su prihodi za isplatu po pravomoćn</w:t>
      </w:r>
      <w:r w:rsidR="001C7667">
        <w:rPr>
          <w:rFonts w:cs="Times New Roman"/>
        </w:rPr>
        <w:t>i</w:t>
      </w:r>
      <w:r>
        <w:rPr>
          <w:rFonts w:cs="Times New Roman"/>
        </w:rPr>
        <w:t xml:space="preserve">m sudskim presudama, </w:t>
      </w:r>
      <w:r w:rsidRPr="00A8731A">
        <w:rPr>
          <w:rFonts w:cs="Times New Roman"/>
          <w:i/>
        </w:rPr>
        <w:t>tužbama 6%</w:t>
      </w:r>
      <w:r w:rsidR="006027B4">
        <w:rPr>
          <w:rFonts w:cs="Times New Roman"/>
          <w:i/>
        </w:rPr>
        <w:t xml:space="preserve">. </w:t>
      </w:r>
      <w:r w:rsidR="00070932" w:rsidRPr="00A8731A">
        <w:rPr>
          <w:rFonts w:cs="Times New Roman"/>
        </w:rPr>
        <w:t xml:space="preserve">Projekcije </w:t>
      </w:r>
      <w:r w:rsidR="00070932">
        <w:rPr>
          <w:rFonts w:cs="Times New Roman"/>
        </w:rPr>
        <w:t xml:space="preserve">plana </w:t>
      </w:r>
      <w:r w:rsidR="00070932" w:rsidRPr="00A8731A">
        <w:rPr>
          <w:rFonts w:cs="Times New Roman"/>
        </w:rPr>
        <w:t xml:space="preserve">za 2025. i 2026. godinu nastavljaju </w:t>
      </w:r>
      <w:r w:rsidR="00070932">
        <w:rPr>
          <w:rFonts w:cs="Times New Roman"/>
        </w:rPr>
        <w:t xml:space="preserve">se na </w:t>
      </w:r>
      <w:r w:rsidR="00070932" w:rsidRPr="00A8731A">
        <w:rPr>
          <w:rFonts w:cs="Times New Roman"/>
        </w:rPr>
        <w:t>trend planiranih prihoda po ovoj aktivnosti.</w:t>
      </w:r>
    </w:p>
    <w:p w:rsidR="00010D9D" w:rsidRPr="00A8731A" w:rsidRDefault="00010D9D" w:rsidP="00010D9D">
      <w:pPr>
        <w:rPr>
          <w:rFonts w:cs="Times New Roman"/>
        </w:rPr>
      </w:pPr>
    </w:p>
    <w:p w:rsidR="00010D9D" w:rsidRPr="00A8731A" w:rsidRDefault="00010D9D" w:rsidP="00010D9D">
      <w:pPr>
        <w:rPr>
          <w:rFonts w:cs="Times New Roman"/>
          <w:b/>
        </w:rPr>
      </w:pPr>
      <w:r w:rsidRPr="00A8731A">
        <w:rPr>
          <w:rFonts w:cs="Times New Roman"/>
          <w:b/>
        </w:rPr>
        <w:t>RASHODI I IZDACI</w:t>
      </w:r>
    </w:p>
    <w:p w:rsidR="00010D9D" w:rsidRPr="00A8731A" w:rsidRDefault="00010D9D" w:rsidP="00010D9D">
      <w:pPr>
        <w:rPr>
          <w:rFonts w:cs="Times New Roman"/>
          <w:b/>
        </w:rPr>
      </w:pPr>
    </w:p>
    <w:p w:rsidR="001C7667" w:rsidRDefault="00010D9D" w:rsidP="00010D9D">
      <w:pPr>
        <w:jc w:val="both"/>
        <w:rPr>
          <w:rFonts w:cs="Times New Roman"/>
        </w:rPr>
      </w:pPr>
      <w:r w:rsidRPr="00A8731A">
        <w:rPr>
          <w:rFonts w:cs="Times New Roman"/>
        </w:rPr>
        <w:t xml:space="preserve">Ukupno planirani rashodi i izdaci u iznosu od </w:t>
      </w:r>
      <w:r w:rsidR="001C7667">
        <w:rPr>
          <w:rFonts w:cs="Times New Roman"/>
        </w:rPr>
        <w:t>18.196.894 eura i u najznačajnijem dijelu prate planirane prihode.</w:t>
      </w:r>
    </w:p>
    <w:p w:rsidR="008A3C4C" w:rsidRDefault="001C7667" w:rsidP="00010D9D">
      <w:pPr>
        <w:jc w:val="both"/>
        <w:rPr>
          <w:rFonts w:cs="Times New Roman"/>
        </w:rPr>
      </w:pPr>
      <w:r>
        <w:rPr>
          <w:rFonts w:cs="Times New Roman"/>
        </w:rPr>
        <w:t xml:space="preserve">Na </w:t>
      </w:r>
      <w:r w:rsidRPr="00A8731A">
        <w:rPr>
          <w:rFonts w:cs="Times New Roman"/>
        </w:rPr>
        <w:t xml:space="preserve">aktivnosti A622017 </w:t>
      </w:r>
      <w:r>
        <w:rPr>
          <w:rFonts w:cs="Times New Roman"/>
        </w:rPr>
        <w:t>planirani su rashodi za zaposlene 7.666.671 eura, materijalni rashodi 3.466.429 eura, financijski rashodi 11.000 eura, naknade građanima (stručna doškolovanja zaposlenika) 12.900 eura, rashodi za podmirenje rente 12.750 eura</w:t>
      </w:r>
      <w:r w:rsidR="008A3C4C">
        <w:rPr>
          <w:rFonts w:cs="Times New Roman"/>
        </w:rPr>
        <w:t>. Rashodi za nabavu proizvedene dugotrajne imovine planirani su u iznosu od 493.890 eura te dodatna ulaganja na nefinancijskoj imovini</w:t>
      </w:r>
      <w:r>
        <w:rPr>
          <w:rFonts w:cs="Times New Roman"/>
        </w:rPr>
        <w:t xml:space="preserve"> </w:t>
      </w:r>
      <w:r w:rsidR="008A3C4C" w:rsidRPr="00A8731A">
        <w:rPr>
          <w:rFonts w:cs="Times New Roman"/>
        </w:rPr>
        <w:t xml:space="preserve">– </w:t>
      </w:r>
      <w:r w:rsidR="008A3C4C">
        <w:rPr>
          <w:rFonts w:cs="Times New Roman"/>
        </w:rPr>
        <w:t>zgrada NSK u iznosu od 350.175 eura. Projekcije plana</w:t>
      </w:r>
      <w:r w:rsidR="00070932">
        <w:rPr>
          <w:rFonts w:cs="Times New Roman"/>
        </w:rPr>
        <w:t xml:space="preserve"> rashoda</w:t>
      </w:r>
      <w:r w:rsidR="008A3C4C">
        <w:rPr>
          <w:rFonts w:cs="Times New Roman"/>
        </w:rPr>
        <w:t xml:space="preserve"> za 2025. i 2026. </w:t>
      </w:r>
      <w:r w:rsidR="008A3C4C" w:rsidRPr="00A8731A">
        <w:rPr>
          <w:rFonts w:cs="Times New Roman"/>
        </w:rPr>
        <w:t>godinu nastavljaju</w:t>
      </w:r>
      <w:r w:rsidR="008A3C4C">
        <w:rPr>
          <w:rFonts w:cs="Times New Roman"/>
        </w:rPr>
        <w:t xml:space="preserve"> u skladu s očekivanim prihodima po ovoj aktivnosti.</w:t>
      </w:r>
    </w:p>
    <w:p w:rsidR="008A3C4C" w:rsidRDefault="008A3C4C" w:rsidP="008A3C4C">
      <w:pPr>
        <w:jc w:val="both"/>
        <w:rPr>
          <w:rFonts w:cs="Times New Roman"/>
        </w:rPr>
      </w:pPr>
      <w:r w:rsidRPr="00A8731A">
        <w:rPr>
          <w:rFonts w:cs="Times New Roman"/>
        </w:rPr>
        <w:t xml:space="preserve">Na aktivnosti A622134 </w:t>
      </w:r>
      <w:r w:rsidR="00061950">
        <w:rPr>
          <w:rFonts w:cs="Times New Roman"/>
        </w:rPr>
        <w:t xml:space="preserve">iz izvora vlastiti prihodi </w:t>
      </w:r>
      <w:r w:rsidRPr="00A8731A">
        <w:rPr>
          <w:rFonts w:cs="Times New Roman"/>
        </w:rPr>
        <w:t xml:space="preserve">planiraju se </w:t>
      </w:r>
      <w:r>
        <w:rPr>
          <w:rFonts w:cs="Times New Roman"/>
        </w:rPr>
        <w:t xml:space="preserve">rashodi za zaposlene na teret </w:t>
      </w:r>
      <w:r w:rsidRPr="00A8731A">
        <w:rPr>
          <w:rFonts w:cs="Times New Roman"/>
        </w:rPr>
        <w:t xml:space="preserve">NSK </w:t>
      </w:r>
      <w:r>
        <w:rPr>
          <w:rFonts w:cs="Times New Roman"/>
        </w:rPr>
        <w:t>od 58.000 eura, materijalni rashodi od 376.000 eura te rashodi za nabavu nefinancijske imovine 40.000 eura.</w:t>
      </w:r>
      <w:r w:rsidRPr="008A3C4C">
        <w:rPr>
          <w:rFonts w:cs="Times New Roman"/>
        </w:rPr>
        <w:t xml:space="preserve"> </w:t>
      </w:r>
      <w:r w:rsidR="00070932">
        <w:rPr>
          <w:rFonts w:cs="Times New Roman"/>
        </w:rPr>
        <w:t xml:space="preserve">Projekcije plana rashoda za 2025. i 2026. </w:t>
      </w:r>
      <w:r w:rsidR="00070932" w:rsidRPr="00A8731A">
        <w:rPr>
          <w:rFonts w:cs="Times New Roman"/>
        </w:rPr>
        <w:t>godinu nastavljaju</w:t>
      </w:r>
      <w:r w:rsidR="00070932">
        <w:rPr>
          <w:rFonts w:cs="Times New Roman"/>
        </w:rPr>
        <w:t xml:space="preserve"> u skladu s očekivanim prihodima po ovoj aktivnosti.</w:t>
      </w:r>
      <w:r w:rsidR="00061950">
        <w:rPr>
          <w:rFonts w:cs="Times New Roman"/>
        </w:rPr>
        <w:t xml:space="preserve"> Iz izvora za posebne namjene planiraju se materijalni rashodi u iznosu od 135.000 eura, naknade građanima (stručna usavršavanja zaposlenika) u iznosu od 5.000 eura te rashodi za nabavu </w:t>
      </w:r>
      <w:proofErr w:type="spellStart"/>
      <w:r w:rsidR="00061950">
        <w:rPr>
          <w:rFonts w:cs="Times New Roman"/>
        </w:rPr>
        <w:t>neproizvedene</w:t>
      </w:r>
      <w:proofErr w:type="spellEnd"/>
      <w:r w:rsidR="00061950">
        <w:rPr>
          <w:rFonts w:cs="Times New Roman"/>
        </w:rPr>
        <w:t xml:space="preserve"> dugotrajne imovine u iznosu od 4.000 eura te proizvedene imovine u iznosu od 23.500 eura. Iz izvora ostale pomoći planirani su materijalni rashodi </w:t>
      </w:r>
      <w:r w:rsidR="009166E4">
        <w:rPr>
          <w:rFonts w:cs="Times New Roman"/>
        </w:rPr>
        <w:t xml:space="preserve">u iznosu od 14.703 eura temeljem ugovorenih obveza po projektima ( </w:t>
      </w:r>
      <w:proofErr w:type="spellStart"/>
      <w:r w:rsidR="009166E4">
        <w:rPr>
          <w:rFonts w:cs="Times New Roman"/>
        </w:rPr>
        <w:t>Erasmus_Liber_CEOS_SE</w:t>
      </w:r>
      <w:proofErr w:type="spellEnd"/>
      <w:r w:rsidR="009166E4">
        <w:rPr>
          <w:rFonts w:cs="Times New Roman"/>
        </w:rPr>
        <w:t>, Sveučilište u Zagrebu).</w:t>
      </w:r>
    </w:p>
    <w:p w:rsidR="008A3C4C" w:rsidRPr="00A8731A" w:rsidRDefault="008A3C4C" w:rsidP="008A3C4C">
      <w:pPr>
        <w:jc w:val="both"/>
        <w:rPr>
          <w:rFonts w:cs="Times New Roman"/>
        </w:rPr>
      </w:pPr>
      <w:r w:rsidRPr="00A8731A">
        <w:rPr>
          <w:rFonts w:cs="Times New Roman"/>
        </w:rPr>
        <w:t xml:space="preserve">Na aktivnosti A622131 NSK planira </w:t>
      </w:r>
      <w:r>
        <w:rPr>
          <w:rFonts w:cs="Times New Roman"/>
        </w:rPr>
        <w:t xml:space="preserve">rashode </w:t>
      </w:r>
      <w:r w:rsidRPr="00A8731A">
        <w:rPr>
          <w:rFonts w:cs="Times New Roman"/>
        </w:rPr>
        <w:t xml:space="preserve">za nabavu jednogodišnjih pretplata na </w:t>
      </w:r>
      <w:r>
        <w:rPr>
          <w:rFonts w:cs="Times New Roman"/>
        </w:rPr>
        <w:t xml:space="preserve">znanstvene </w:t>
      </w:r>
      <w:r w:rsidRPr="00A8731A">
        <w:rPr>
          <w:rFonts w:cs="Times New Roman"/>
        </w:rPr>
        <w:t>elektroničke časopise i baze podataka</w:t>
      </w:r>
      <w:r>
        <w:rPr>
          <w:rFonts w:cs="Times New Roman"/>
        </w:rPr>
        <w:t xml:space="preserve"> u iznosu od 4.451.699 eura.</w:t>
      </w:r>
      <w:r w:rsidRPr="00A8731A">
        <w:rPr>
          <w:rFonts w:cs="Times New Roman"/>
        </w:rPr>
        <w:t xml:space="preserve"> </w:t>
      </w:r>
      <w:r w:rsidR="00070932">
        <w:rPr>
          <w:rFonts w:cs="Times New Roman"/>
        </w:rPr>
        <w:t xml:space="preserve">Projekcije plana rashoda za 2025. i 2026. </w:t>
      </w:r>
      <w:r w:rsidR="00070932" w:rsidRPr="00A8731A">
        <w:rPr>
          <w:rFonts w:cs="Times New Roman"/>
        </w:rPr>
        <w:t>godinu nastavljaju</w:t>
      </w:r>
      <w:r w:rsidR="00070932">
        <w:rPr>
          <w:rFonts w:cs="Times New Roman"/>
        </w:rPr>
        <w:t xml:space="preserve"> u skladu s očekivanim prihodima po ovoj aktivnosti.</w:t>
      </w:r>
    </w:p>
    <w:p w:rsidR="008A3C4C" w:rsidRDefault="008A3C4C" w:rsidP="008A3C4C">
      <w:pPr>
        <w:jc w:val="both"/>
        <w:rPr>
          <w:rFonts w:cs="Times New Roman"/>
        </w:rPr>
      </w:pPr>
      <w:r w:rsidRPr="00A8731A">
        <w:rPr>
          <w:rFonts w:cs="Times New Roman"/>
        </w:rPr>
        <w:t xml:space="preserve">Na kapitalnoj aktivnosti K622116 NSK planira </w:t>
      </w:r>
      <w:r>
        <w:rPr>
          <w:rFonts w:cs="Times New Roman"/>
        </w:rPr>
        <w:t xml:space="preserve">rashode za </w:t>
      </w:r>
      <w:r w:rsidRPr="00A8731A">
        <w:rPr>
          <w:rFonts w:cs="Times New Roman"/>
        </w:rPr>
        <w:t>nabavu za izgradnju fonda NSK</w:t>
      </w:r>
      <w:r>
        <w:rPr>
          <w:rFonts w:cs="Times New Roman"/>
        </w:rPr>
        <w:t xml:space="preserve"> u iznosu od 48.900 eura</w:t>
      </w:r>
      <w:r w:rsidRPr="00A8731A">
        <w:rPr>
          <w:rFonts w:cs="Times New Roman"/>
        </w:rPr>
        <w:t xml:space="preserve">. </w:t>
      </w:r>
      <w:r w:rsidR="00070932">
        <w:rPr>
          <w:rFonts w:cs="Times New Roman"/>
        </w:rPr>
        <w:t xml:space="preserve">Projekcije plana rashoda za 2025. i 2026. </w:t>
      </w:r>
      <w:r w:rsidR="00070932" w:rsidRPr="00A8731A">
        <w:rPr>
          <w:rFonts w:cs="Times New Roman"/>
        </w:rPr>
        <w:t>godinu nastavljaju</w:t>
      </w:r>
      <w:r w:rsidR="00070932">
        <w:rPr>
          <w:rFonts w:cs="Times New Roman"/>
        </w:rPr>
        <w:t xml:space="preserve"> u skladu s očekivanim prihodima po ovoj aktivnosti.</w:t>
      </w:r>
    </w:p>
    <w:p w:rsidR="008A3C4C" w:rsidRDefault="008A3C4C" w:rsidP="008A3C4C">
      <w:pPr>
        <w:jc w:val="both"/>
        <w:rPr>
          <w:rFonts w:cs="Times New Roman"/>
        </w:rPr>
      </w:pPr>
      <w:r w:rsidRPr="00A8731A">
        <w:rPr>
          <w:rFonts w:cs="Times New Roman"/>
        </w:rPr>
        <w:t xml:space="preserve">Na kapitalnoj aktivnosti K622147 planirani su </w:t>
      </w:r>
      <w:r>
        <w:rPr>
          <w:rFonts w:cs="Times New Roman"/>
        </w:rPr>
        <w:t>rashodi</w:t>
      </w:r>
      <w:r w:rsidRPr="00A8731A">
        <w:rPr>
          <w:rFonts w:cs="Times New Roman"/>
        </w:rPr>
        <w:t xml:space="preserve"> projekta e-Sveučilišta</w:t>
      </w:r>
      <w:r>
        <w:rPr>
          <w:rFonts w:cs="Times New Roman"/>
        </w:rPr>
        <w:t xml:space="preserve"> za zaposlene u iznosu od 36.444 eura, materijalne rashode u iznosu od 85.803 eura i rashode za nabavu proizvedene dugotrajne imovine u iznosu od </w:t>
      </w:r>
      <w:r w:rsidR="00070932">
        <w:rPr>
          <w:rFonts w:cs="Times New Roman"/>
        </w:rPr>
        <w:t>848.750 eura.</w:t>
      </w:r>
      <w:r w:rsidR="00070932" w:rsidRPr="00070932">
        <w:rPr>
          <w:rFonts w:cs="Times New Roman"/>
        </w:rPr>
        <w:t xml:space="preserve"> </w:t>
      </w:r>
      <w:r w:rsidR="00070932">
        <w:rPr>
          <w:rFonts w:cs="Times New Roman"/>
        </w:rPr>
        <w:t>Planirani rashodi po ovoj aktivnosti očekuju se i 2025. godine.</w:t>
      </w:r>
    </w:p>
    <w:p w:rsidR="00070932" w:rsidRPr="00A8731A" w:rsidRDefault="00070932" w:rsidP="00070932">
      <w:pPr>
        <w:jc w:val="both"/>
        <w:rPr>
          <w:rFonts w:cs="Times New Roman"/>
        </w:rPr>
      </w:pPr>
      <w:r>
        <w:rPr>
          <w:rFonts w:cs="Times New Roman"/>
        </w:rPr>
        <w:t xml:space="preserve">Na aktivnosti </w:t>
      </w:r>
      <w:r w:rsidRPr="00A8731A">
        <w:rPr>
          <w:rFonts w:cs="Times New Roman"/>
        </w:rPr>
        <w:t>A622145</w:t>
      </w:r>
      <w:r>
        <w:rPr>
          <w:rFonts w:cs="Times New Roman"/>
        </w:rPr>
        <w:t xml:space="preserve"> planirani su rashodi za isplatu po pravomoćnim sudskim presudama u iznosu od 55.000 eura. Projekcije plana rashoda za 2025. i 2026. </w:t>
      </w:r>
      <w:r w:rsidRPr="00A8731A">
        <w:rPr>
          <w:rFonts w:cs="Times New Roman"/>
        </w:rPr>
        <w:t>godinu nastavljaju</w:t>
      </w:r>
      <w:r>
        <w:rPr>
          <w:rFonts w:cs="Times New Roman"/>
        </w:rPr>
        <w:t xml:space="preserve"> u skladu s očekivanim prihodima po ovoj aktivnosti.</w:t>
      </w:r>
    </w:p>
    <w:p w:rsidR="00010D9D" w:rsidRPr="00A8731A" w:rsidRDefault="00010D9D" w:rsidP="00010D9D">
      <w:pPr>
        <w:rPr>
          <w:rFonts w:cs="Times New Roman"/>
        </w:rPr>
      </w:pPr>
    </w:p>
    <w:p w:rsidR="00010D9D" w:rsidRPr="00A8731A" w:rsidRDefault="00010D9D" w:rsidP="00010D9D">
      <w:pPr>
        <w:rPr>
          <w:rFonts w:cs="Times New Roman"/>
          <w:b/>
        </w:rPr>
      </w:pPr>
      <w:r w:rsidRPr="00A8731A">
        <w:rPr>
          <w:rFonts w:cs="Times New Roman"/>
          <w:b/>
        </w:rPr>
        <w:t>PRIJENOS SREDSTAVA IZ PRETHODNE I U SLIJEDEĆU GODINU</w:t>
      </w:r>
    </w:p>
    <w:p w:rsidR="00010D9D" w:rsidRPr="00A8731A" w:rsidRDefault="00010D9D" w:rsidP="00010D9D">
      <w:pPr>
        <w:rPr>
          <w:rFonts w:cs="Times New Roman"/>
          <w:b/>
        </w:rPr>
      </w:pPr>
    </w:p>
    <w:p w:rsidR="00010D9D" w:rsidRPr="00A8731A" w:rsidRDefault="00010D9D" w:rsidP="00070932">
      <w:pPr>
        <w:jc w:val="both"/>
        <w:rPr>
          <w:rFonts w:cs="Times New Roman"/>
        </w:rPr>
      </w:pPr>
      <w:r w:rsidRPr="00A8731A">
        <w:rPr>
          <w:rFonts w:cs="Times New Roman"/>
        </w:rPr>
        <w:t>U skladu s planom NSK iz 202</w:t>
      </w:r>
      <w:r w:rsidR="00F85D1F" w:rsidRPr="00A8731A">
        <w:rPr>
          <w:rFonts w:cs="Times New Roman"/>
        </w:rPr>
        <w:t>3</w:t>
      </w:r>
      <w:r w:rsidRPr="00A8731A">
        <w:rPr>
          <w:rFonts w:cs="Times New Roman"/>
        </w:rPr>
        <w:t xml:space="preserve">. godine planira se donos u iznosu od </w:t>
      </w:r>
      <w:r w:rsidR="00070932">
        <w:rPr>
          <w:rFonts w:cs="Times New Roman"/>
        </w:rPr>
        <w:t>1.279.968 eura</w:t>
      </w:r>
      <w:r w:rsidRPr="00A8731A">
        <w:rPr>
          <w:rFonts w:cs="Times New Roman"/>
        </w:rPr>
        <w:t xml:space="preserve"> u 202</w:t>
      </w:r>
      <w:r w:rsidR="00F85D1F" w:rsidRPr="00A8731A">
        <w:rPr>
          <w:rFonts w:cs="Times New Roman"/>
        </w:rPr>
        <w:t>4</w:t>
      </w:r>
      <w:r w:rsidRPr="00A8731A">
        <w:rPr>
          <w:rFonts w:cs="Times New Roman"/>
        </w:rPr>
        <w:t>. godinu i to po ostvarenim prihodima iz vlastitih izvora, namjenskih prihoda</w:t>
      </w:r>
      <w:r w:rsidR="00070932">
        <w:rPr>
          <w:rFonts w:cs="Times New Roman"/>
        </w:rPr>
        <w:t xml:space="preserve"> i ostalih pomoći. Donos će se trošiti u skladu s namjenom na izvanredne rashode koje će biti potrebno podmiriti kao i odnos</w:t>
      </w:r>
      <w:r w:rsidRPr="00A8731A">
        <w:rPr>
          <w:rFonts w:cs="Times New Roman"/>
        </w:rPr>
        <w:t xml:space="preserve"> u slijedeću plansku 202</w:t>
      </w:r>
      <w:r w:rsidR="00F85D1F" w:rsidRPr="00A8731A">
        <w:rPr>
          <w:rFonts w:cs="Times New Roman"/>
        </w:rPr>
        <w:t>5</w:t>
      </w:r>
      <w:r w:rsidRPr="00A8731A">
        <w:rPr>
          <w:rFonts w:cs="Times New Roman"/>
        </w:rPr>
        <w:t xml:space="preserve">. godinu. </w:t>
      </w:r>
    </w:p>
    <w:p w:rsidR="00010D9D" w:rsidRPr="00A8731A" w:rsidRDefault="00010D9D" w:rsidP="00010D9D">
      <w:pPr>
        <w:rPr>
          <w:rFonts w:cs="Times New Roman"/>
          <w:b/>
        </w:rPr>
      </w:pPr>
      <w:bookmarkStart w:id="0" w:name="_GoBack"/>
      <w:bookmarkEnd w:id="0"/>
      <w:r w:rsidRPr="00A8731A">
        <w:rPr>
          <w:rFonts w:cs="Times New Roman"/>
          <w:b/>
        </w:rPr>
        <w:lastRenderedPageBreak/>
        <w:t>UKUPNE DOSPIJELE OBVEZE</w:t>
      </w:r>
    </w:p>
    <w:p w:rsidR="00010D9D" w:rsidRPr="00A8731A" w:rsidRDefault="00010D9D" w:rsidP="00010D9D">
      <w:pPr>
        <w:rPr>
          <w:rFonts w:cs="Times New Roman"/>
          <w:b/>
        </w:rPr>
      </w:pPr>
    </w:p>
    <w:tbl>
      <w:tblPr>
        <w:tblW w:w="9400" w:type="dxa"/>
        <w:tblLook w:val="04A0" w:firstRow="1" w:lastRow="0" w:firstColumn="1" w:lastColumn="0" w:noHBand="0" w:noVBand="1"/>
      </w:tblPr>
      <w:tblGrid>
        <w:gridCol w:w="2800"/>
        <w:gridCol w:w="3280"/>
        <w:gridCol w:w="3320"/>
      </w:tblGrid>
      <w:tr w:rsidR="00010D9D" w:rsidRPr="00A8731A" w:rsidTr="00EB7856">
        <w:trPr>
          <w:trHeight w:val="300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D9D" w:rsidRPr="00A8731A" w:rsidRDefault="00010D9D" w:rsidP="00EB7856">
            <w:pPr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  <w:r w:rsidRPr="00A8731A">
              <w:rPr>
                <w:rFonts w:eastAsia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D9D" w:rsidRPr="00A8731A" w:rsidRDefault="00010D9D" w:rsidP="00EB7856">
            <w:pPr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  <w:r w:rsidRPr="00A8731A">
              <w:rPr>
                <w:rFonts w:eastAsia="Times New Roman" w:cs="Times New Roman"/>
                <w:color w:val="000000"/>
                <w:lang w:eastAsia="hr-HR"/>
              </w:rPr>
              <w:t>Stanje obveza na dan 31.12.202</w:t>
            </w:r>
            <w:r w:rsidR="00F85D1F" w:rsidRPr="00A8731A">
              <w:rPr>
                <w:rFonts w:eastAsia="Times New Roman" w:cs="Times New Roman"/>
                <w:color w:val="000000"/>
                <w:lang w:eastAsia="hr-HR"/>
              </w:rPr>
              <w:t>2</w:t>
            </w:r>
            <w:r w:rsidRPr="00A8731A">
              <w:rPr>
                <w:rFonts w:eastAsia="Times New Roman" w:cs="Times New Roman"/>
                <w:color w:val="000000"/>
                <w:lang w:eastAsia="hr-HR"/>
              </w:rPr>
              <w:t xml:space="preserve">. 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D9D" w:rsidRPr="00A8731A" w:rsidRDefault="00010D9D" w:rsidP="00EB7856">
            <w:pPr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  <w:r w:rsidRPr="00A8731A">
              <w:rPr>
                <w:rFonts w:eastAsia="Times New Roman" w:cs="Times New Roman"/>
                <w:color w:val="000000"/>
                <w:lang w:eastAsia="hr-HR"/>
              </w:rPr>
              <w:t>Stanje obveza na dan 30.06.202</w:t>
            </w:r>
            <w:r w:rsidR="00F85D1F" w:rsidRPr="00A8731A">
              <w:rPr>
                <w:rFonts w:eastAsia="Times New Roman" w:cs="Times New Roman"/>
                <w:color w:val="000000"/>
                <w:lang w:eastAsia="hr-HR"/>
              </w:rPr>
              <w:t>3</w:t>
            </w:r>
            <w:r w:rsidRPr="00A8731A">
              <w:rPr>
                <w:rFonts w:eastAsia="Times New Roman" w:cs="Times New Roman"/>
                <w:color w:val="000000"/>
                <w:lang w:eastAsia="hr-HR"/>
              </w:rPr>
              <w:t>.</w:t>
            </w:r>
          </w:p>
        </w:tc>
      </w:tr>
      <w:tr w:rsidR="00010D9D" w:rsidRPr="00A8731A" w:rsidTr="00EB7856">
        <w:trPr>
          <w:trHeight w:val="300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D9D" w:rsidRPr="00A8731A" w:rsidRDefault="00010D9D" w:rsidP="00EB7856">
            <w:pPr>
              <w:rPr>
                <w:rFonts w:eastAsia="Times New Roman" w:cs="Times New Roman"/>
                <w:color w:val="000000"/>
                <w:lang w:eastAsia="hr-HR"/>
              </w:rPr>
            </w:pPr>
            <w:r w:rsidRPr="00A8731A">
              <w:rPr>
                <w:rFonts w:eastAsia="Times New Roman" w:cs="Times New Roman"/>
                <w:color w:val="000000"/>
                <w:lang w:eastAsia="hr-HR"/>
              </w:rPr>
              <w:t>Ukupne obveze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D9D" w:rsidRPr="00A8731A" w:rsidRDefault="00010D9D" w:rsidP="00EB7856">
            <w:pPr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  <w:r w:rsidRPr="00A8731A">
              <w:rPr>
                <w:rFonts w:eastAsia="Times New Roman" w:cs="Times New Roman"/>
                <w:color w:val="000000"/>
                <w:lang w:eastAsia="hr-HR"/>
              </w:rPr>
              <w:t>5.722.565,00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D9D" w:rsidRPr="00A8731A" w:rsidRDefault="00010D9D" w:rsidP="00EB7856">
            <w:pPr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  <w:r w:rsidRPr="00A8731A">
              <w:rPr>
                <w:rFonts w:eastAsia="Times New Roman" w:cs="Times New Roman"/>
                <w:color w:val="000000"/>
                <w:lang w:eastAsia="hr-HR"/>
              </w:rPr>
              <w:t>6.616.054,91</w:t>
            </w:r>
          </w:p>
        </w:tc>
      </w:tr>
      <w:tr w:rsidR="00010D9D" w:rsidRPr="00A8731A" w:rsidTr="00EB7856">
        <w:trPr>
          <w:trHeight w:val="300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D9D" w:rsidRPr="00A8731A" w:rsidRDefault="00010D9D" w:rsidP="00EB7856">
            <w:pPr>
              <w:rPr>
                <w:rFonts w:eastAsia="Times New Roman" w:cs="Times New Roman"/>
                <w:color w:val="000000"/>
                <w:lang w:eastAsia="hr-HR"/>
              </w:rPr>
            </w:pPr>
            <w:r w:rsidRPr="00A8731A">
              <w:rPr>
                <w:rFonts w:eastAsia="Times New Roman" w:cs="Times New Roman"/>
                <w:color w:val="000000"/>
                <w:lang w:eastAsia="hr-HR"/>
              </w:rPr>
              <w:t>Dospjele obveze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D9D" w:rsidRPr="00A8731A" w:rsidRDefault="00010D9D" w:rsidP="00EB7856">
            <w:pPr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  <w:r w:rsidRPr="00A8731A">
              <w:rPr>
                <w:rFonts w:eastAsia="Times New Roman" w:cs="Times New Roman"/>
                <w:color w:val="000000"/>
                <w:lang w:eastAsia="hr-HR"/>
              </w:rPr>
              <w:t>24.225,00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D9D" w:rsidRPr="00A8731A" w:rsidRDefault="00010D9D" w:rsidP="00EB7856">
            <w:pPr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  <w:r w:rsidRPr="00A8731A">
              <w:rPr>
                <w:rFonts w:eastAsia="Times New Roman" w:cs="Times New Roman"/>
                <w:color w:val="000000"/>
                <w:lang w:eastAsia="hr-HR"/>
              </w:rPr>
              <w:t>29.477,12</w:t>
            </w:r>
          </w:p>
        </w:tc>
      </w:tr>
    </w:tbl>
    <w:p w:rsidR="00C00FD1" w:rsidRDefault="00C00FD1" w:rsidP="00070932">
      <w:pPr>
        <w:rPr>
          <w:rFonts w:cs="Times New Roman"/>
        </w:rPr>
      </w:pPr>
    </w:p>
    <w:sectPr w:rsidR="00C00FD1" w:rsidSect="007773C8">
      <w:footerReference w:type="default" r:id="rId8"/>
      <w:headerReference w:type="first" r:id="rId9"/>
      <w:footerReference w:type="first" r:id="rId10"/>
      <w:pgSz w:w="11906" w:h="16838" w:code="9"/>
      <w:pgMar w:top="2268" w:right="1418" w:bottom="1418" w:left="1418" w:header="709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3F9E" w:rsidRPr="005E3DE1" w:rsidRDefault="00983F9E" w:rsidP="005E3DE1">
      <w:r>
        <w:separator/>
      </w:r>
    </w:p>
  </w:endnote>
  <w:endnote w:type="continuationSeparator" w:id="0">
    <w:p w:rsidR="00983F9E" w:rsidRPr="005E3DE1" w:rsidRDefault="00983F9E" w:rsidP="005E3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chetBook">
    <w:altName w:val="Arial"/>
    <w:charset w:val="EE"/>
    <w:family w:val="swiss"/>
    <w:pitch w:val="variable"/>
    <w:sig w:usb0="0000000F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1140415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AA2ED8" w:rsidRDefault="00AA2ED8">
            <w:pPr>
              <w:pStyle w:val="Podnoje"/>
              <w:jc w:val="right"/>
            </w:pPr>
            <w:r w:rsidRPr="00AA2ED8">
              <w:rPr>
                <w:bCs/>
              </w:rPr>
              <w:fldChar w:fldCharType="begin"/>
            </w:r>
            <w:r w:rsidRPr="00AA2ED8">
              <w:rPr>
                <w:bCs/>
              </w:rPr>
              <w:instrText>PAGE</w:instrText>
            </w:r>
            <w:r w:rsidRPr="00AA2ED8">
              <w:rPr>
                <w:bCs/>
              </w:rPr>
              <w:fldChar w:fldCharType="separate"/>
            </w:r>
            <w:r w:rsidR="00267811">
              <w:rPr>
                <w:bCs/>
                <w:noProof/>
              </w:rPr>
              <w:t>2</w:t>
            </w:r>
            <w:r w:rsidRPr="00AA2ED8">
              <w:rPr>
                <w:bCs/>
              </w:rPr>
              <w:fldChar w:fldCharType="end"/>
            </w:r>
            <w:r w:rsidRPr="00AA2ED8">
              <w:t xml:space="preserve"> / </w:t>
            </w:r>
            <w:r w:rsidRPr="00AA2ED8">
              <w:rPr>
                <w:bCs/>
              </w:rPr>
              <w:fldChar w:fldCharType="begin"/>
            </w:r>
            <w:r w:rsidRPr="00AA2ED8">
              <w:rPr>
                <w:bCs/>
              </w:rPr>
              <w:instrText>NUMPAGES</w:instrText>
            </w:r>
            <w:r w:rsidRPr="00AA2ED8">
              <w:rPr>
                <w:bCs/>
              </w:rPr>
              <w:fldChar w:fldCharType="separate"/>
            </w:r>
            <w:r w:rsidR="00267811">
              <w:rPr>
                <w:bCs/>
                <w:noProof/>
              </w:rPr>
              <w:t>2</w:t>
            </w:r>
            <w:r w:rsidRPr="00AA2ED8">
              <w:rPr>
                <w:bCs/>
              </w:rPr>
              <w:fldChar w:fldCharType="end"/>
            </w:r>
          </w:p>
        </w:sdtContent>
      </w:sdt>
    </w:sdtContent>
  </w:sdt>
  <w:p w:rsidR="00F2591C" w:rsidRDefault="00F2591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79B2" w:rsidRDefault="002B79B2">
    <w:pPr>
      <w:pStyle w:val="Podnoje"/>
      <w:jc w:val="right"/>
    </w:pPr>
  </w:p>
  <w:p w:rsidR="00914A69" w:rsidRPr="00914A69" w:rsidRDefault="00914A69" w:rsidP="00914A69">
    <w:pPr>
      <w:pStyle w:val="Podnoje"/>
      <w:jc w:val="right"/>
    </w:pPr>
  </w:p>
  <w:p w:rsidR="002E42A2" w:rsidRDefault="002E42A2" w:rsidP="00914A69">
    <w:pPr>
      <w:pStyle w:val="Podnoj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3F9E" w:rsidRPr="005E3DE1" w:rsidRDefault="00983F9E" w:rsidP="005E3DE1">
      <w:r>
        <w:separator/>
      </w:r>
    </w:p>
  </w:footnote>
  <w:footnote w:type="continuationSeparator" w:id="0">
    <w:p w:rsidR="00983F9E" w:rsidRPr="005E3DE1" w:rsidRDefault="00983F9E" w:rsidP="005E3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42A2" w:rsidRDefault="005123B1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61312" behindDoc="1" locked="0" layoutInCell="1" allowOverlap="1" wp14:anchorId="2EACAD42" wp14:editId="317F880E">
          <wp:simplePos x="0" y="0"/>
          <wp:positionH relativeFrom="column">
            <wp:posOffset>-900430</wp:posOffset>
          </wp:positionH>
          <wp:positionV relativeFrom="paragraph">
            <wp:posOffset>-450215</wp:posOffset>
          </wp:positionV>
          <wp:extent cx="7544102" cy="1438275"/>
          <wp:effectExtent l="0" t="0" r="0" b="0"/>
          <wp:wrapThrough wrapText="bothSides">
            <wp:wrapPolygon edited="0">
              <wp:start x="0" y="0"/>
              <wp:lineTo x="0" y="21171"/>
              <wp:lineTo x="21545" y="21171"/>
              <wp:lineTo x="21545" y="0"/>
              <wp:lineTo x="0" y="0"/>
            </wp:wrapPolygon>
          </wp:wrapThrough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sk memo zaglavlje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4102" cy="1438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E42A2">
      <w:rPr>
        <w:noProof/>
        <w:lang w:eastAsia="hr-HR"/>
      </w:rPr>
      <w:drawing>
        <wp:anchor distT="0" distB="0" distL="114300" distR="114300" simplePos="0" relativeHeight="251659264" behindDoc="1" locked="0" layoutInCell="1" allowOverlap="1" wp14:anchorId="3C91B957" wp14:editId="3D800590">
          <wp:simplePos x="0" y="0"/>
          <wp:positionH relativeFrom="column">
            <wp:posOffset>-900430</wp:posOffset>
          </wp:positionH>
          <wp:positionV relativeFrom="paragraph">
            <wp:posOffset>-450215</wp:posOffset>
          </wp:positionV>
          <wp:extent cx="7559675" cy="1438275"/>
          <wp:effectExtent l="0" t="0" r="3175" b="9525"/>
          <wp:wrapThrough wrapText="bothSides">
            <wp:wrapPolygon edited="0">
              <wp:start x="0" y="0"/>
              <wp:lineTo x="0" y="21457"/>
              <wp:lineTo x="21555" y="21457"/>
              <wp:lineTo x="21555" y="0"/>
              <wp:lineTo x="0" y="0"/>
            </wp:wrapPolygon>
          </wp:wrapThrough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sk memo zaglavlje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438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D58A5"/>
    <w:multiLevelType w:val="hybridMultilevel"/>
    <w:tmpl w:val="476093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F0405"/>
    <w:multiLevelType w:val="hybridMultilevel"/>
    <w:tmpl w:val="EC203938"/>
    <w:lvl w:ilvl="0" w:tplc="C0564CF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4EC28BA"/>
    <w:multiLevelType w:val="hybridMultilevel"/>
    <w:tmpl w:val="4D949B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C971B1"/>
    <w:multiLevelType w:val="hybridMultilevel"/>
    <w:tmpl w:val="C0E46A2A"/>
    <w:lvl w:ilvl="0" w:tplc="FBC65D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ACE5A50"/>
    <w:multiLevelType w:val="hybridMultilevel"/>
    <w:tmpl w:val="3B14C9A4"/>
    <w:lvl w:ilvl="0" w:tplc="8958696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71F63A1"/>
    <w:multiLevelType w:val="hybridMultilevel"/>
    <w:tmpl w:val="80606610"/>
    <w:lvl w:ilvl="0" w:tplc="D2BE47D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LockQFSet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DE1"/>
    <w:rsid w:val="00010D9D"/>
    <w:rsid w:val="00061950"/>
    <w:rsid w:val="00063F98"/>
    <w:rsid w:val="00070932"/>
    <w:rsid w:val="00094A76"/>
    <w:rsid w:val="000C14F3"/>
    <w:rsid w:val="000F082A"/>
    <w:rsid w:val="00104D59"/>
    <w:rsid w:val="00105366"/>
    <w:rsid w:val="00107444"/>
    <w:rsid w:val="0013313B"/>
    <w:rsid w:val="001357E2"/>
    <w:rsid w:val="00164F99"/>
    <w:rsid w:val="001966EB"/>
    <w:rsid w:val="001C6669"/>
    <w:rsid w:val="001C7667"/>
    <w:rsid w:val="001D0DC6"/>
    <w:rsid w:val="001E54EA"/>
    <w:rsid w:val="0023569B"/>
    <w:rsid w:val="00241C38"/>
    <w:rsid w:val="00245AE0"/>
    <w:rsid w:val="00246FC4"/>
    <w:rsid w:val="00267811"/>
    <w:rsid w:val="002927EF"/>
    <w:rsid w:val="002B497A"/>
    <w:rsid w:val="002B79B2"/>
    <w:rsid w:val="002D1ED9"/>
    <w:rsid w:val="002D5374"/>
    <w:rsid w:val="002D77DE"/>
    <w:rsid w:val="002E42A2"/>
    <w:rsid w:val="002F4AA1"/>
    <w:rsid w:val="00307526"/>
    <w:rsid w:val="00311D37"/>
    <w:rsid w:val="0033360F"/>
    <w:rsid w:val="00351C2F"/>
    <w:rsid w:val="00385E9B"/>
    <w:rsid w:val="003B1FBB"/>
    <w:rsid w:val="003C39BB"/>
    <w:rsid w:val="003C6070"/>
    <w:rsid w:val="004022EB"/>
    <w:rsid w:val="004703E5"/>
    <w:rsid w:val="00495E1F"/>
    <w:rsid w:val="004A0B2F"/>
    <w:rsid w:val="004D02FC"/>
    <w:rsid w:val="004D0790"/>
    <w:rsid w:val="005123B1"/>
    <w:rsid w:val="00524D96"/>
    <w:rsid w:val="00544ADA"/>
    <w:rsid w:val="00560785"/>
    <w:rsid w:val="00594123"/>
    <w:rsid w:val="005A758D"/>
    <w:rsid w:val="005B001E"/>
    <w:rsid w:val="005B593A"/>
    <w:rsid w:val="005C237C"/>
    <w:rsid w:val="005E3DE1"/>
    <w:rsid w:val="005F33C6"/>
    <w:rsid w:val="006027B4"/>
    <w:rsid w:val="00686704"/>
    <w:rsid w:val="006B64EE"/>
    <w:rsid w:val="006F30F1"/>
    <w:rsid w:val="0071484B"/>
    <w:rsid w:val="00727C38"/>
    <w:rsid w:val="00745C9A"/>
    <w:rsid w:val="00747414"/>
    <w:rsid w:val="00762B6E"/>
    <w:rsid w:val="007773C8"/>
    <w:rsid w:val="007A01ED"/>
    <w:rsid w:val="00855F87"/>
    <w:rsid w:val="008665C8"/>
    <w:rsid w:val="00884A12"/>
    <w:rsid w:val="008A3C4C"/>
    <w:rsid w:val="008E29AA"/>
    <w:rsid w:val="0090256F"/>
    <w:rsid w:val="00914A69"/>
    <w:rsid w:val="009166E4"/>
    <w:rsid w:val="00955733"/>
    <w:rsid w:val="0098036D"/>
    <w:rsid w:val="0098351F"/>
    <w:rsid w:val="00983F9E"/>
    <w:rsid w:val="00987199"/>
    <w:rsid w:val="00991745"/>
    <w:rsid w:val="009939A9"/>
    <w:rsid w:val="0099604C"/>
    <w:rsid w:val="009B0F84"/>
    <w:rsid w:val="009D077F"/>
    <w:rsid w:val="009E75BC"/>
    <w:rsid w:val="00A058C2"/>
    <w:rsid w:val="00A07F5D"/>
    <w:rsid w:val="00A10A40"/>
    <w:rsid w:val="00A34817"/>
    <w:rsid w:val="00A71032"/>
    <w:rsid w:val="00A7659F"/>
    <w:rsid w:val="00A8731A"/>
    <w:rsid w:val="00AA0D03"/>
    <w:rsid w:val="00AA2ED8"/>
    <w:rsid w:val="00AC10D7"/>
    <w:rsid w:val="00AC2B1A"/>
    <w:rsid w:val="00B24A20"/>
    <w:rsid w:val="00B42FF3"/>
    <w:rsid w:val="00BA45CE"/>
    <w:rsid w:val="00BB1B41"/>
    <w:rsid w:val="00BB5D48"/>
    <w:rsid w:val="00BC58E8"/>
    <w:rsid w:val="00BD57D1"/>
    <w:rsid w:val="00BF45AE"/>
    <w:rsid w:val="00C00FD1"/>
    <w:rsid w:val="00C3014E"/>
    <w:rsid w:val="00C37C6F"/>
    <w:rsid w:val="00C47520"/>
    <w:rsid w:val="00C65EFD"/>
    <w:rsid w:val="00C7042F"/>
    <w:rsid w:val="00CA05D5"/>
    <w:rsid w:val="00CD20CC"/>
    <w:rsid w:val="00CF0FB2"/>
    <w:rsid w:val="00D20E2D"/>
    <w:rsid w:val="00D26994"/>
    <w:rsid w:val="00D46F33"/>
    <w:rsid w:val="00D4736C"/>
    <w:rsid w:val="00D5617B"/>
    <w:rsid w:val="00D56CDB"/>
    <w:rsid w:val="00D57978"/>
    <w:rsid w:val="00D7044A"/>
    <w:rsid w:val="00D75BAF"/>
    <w:rsid w:val="00D87F3C"/>
    <w:rsid w:val="00DA1927"/>
    <w:rsid w:val="00DF129A"/>
    <w:rsid w:val="00E07716"/>
    <w:rsid w:val="00E1212F"/>
    <w:rsid w:val="00E30B5C"/>
    <w:rsid w:val="00E5060A"/>
    <w:rsid w:val="00E5618D"/>
    <w:rsid w:val="00E67A99"/>
    <w:rsid w:val="00EC3489"/>
    <w:rsid w:val="00F11384"/>
    <w:rsid w:val="00F2591C"/>
    <w:rsid w:val="00F6760D"/>
    <w:rsid w:val="00F71EBE"/>
    <w:rsid w:val="00F85D1F"/>
    <w:rsid w:val="00FA48B3"/>
    <w:rsid w:val="00FB5685"/>
    <w:rsid w:val="00FF1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91ACA1"/>
  <w15:docId w15:val="{EBD55568-6BE7-4A3A-9324-5B3EDAE09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qFormat/>
    <w:rsid w:val="0098351F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nhideWhenUsed/>
    <w:rsid w:val="005E3DE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5E3DE1"/>
  </w:style>
  <w:style w:type="paragraph" w:styleId="Podnoje">
    <w:name w:val="footer"/>
    <w:basedOn w:val="Normal"/>
    <w:link w:val="PodnojeChar"/>
    <w:uiPriority w:val="99"/>
    <w:unhideWhenUsed/>
    <w:rsid w:val="005E3DE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E3DE1"/>
  </w:style>
  <w:style w:type="paragraph" w:styleId="Tekstbalonia">
    <w:name w:val="Balloon Text"/>
    <w:basedOn w:val="Normal"/>
    <w:link w:val="TekstbaloniaChar"/>
    <w:uiPriority w:val="99"/>
    <w:semiHidden/>
    <w:unhideWhenUsed/>
    <w:rsid w:val="005E3DE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E3DE1"/>
    <w:rPr>
      <w:rFonts w:ascii="Tahoma" w:hAnsi="Tahoma" w:cs="Tahoma"/>
      <w:sz w:val="16"/>
      <w:szCs w:val="16"/>
    </w:rPr>
  </w:style>
  <w:style w:type="paragraph" w:styleId="Obinitekst">
    <w:name w:val="Plain Text"/>
    <w:basedOn w:val="Normal"/>
    <w:link w:val="ObinitekstChar"/>
    <w:uiPriority w:val="99"/>
    <w:semiHidden/>
    <w:unhideWhenUsed/>
    <w:rsid w:val="004022EB"/>
    <w:rPr>
      <w:rFonts w:ascii="Calibri" w:eastAsia="Calibri" w:hAnsi="Calibri" w:cs="Times New Roman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4022EB"/>
    <w:rPr>
      <w:rFonts w:ascii="Calibri" w:eastAsia="Calibri" w:hAnsi="Calibri" w:cs="Times New Roman"/>
    </w:rPr>
  </w:style>
  <w:style w:type="character" w:customStyle="1" w:styleId="Naslov2Char">
    <w:name w:val="Naslov 2 Char"/>
    <w:basedOn w:val="Zadanifontodlomka"/>
    <w:link w:val="Naslov2"/>
    <w:rsid w:val="0098351F"/>
    <w:rPr>
      <w:rFonts w:eastAsia="Times New Roman" w:cs="Times New Roman"/>
      <w:b/>
      <w:bCs/>
      <w:sz w:val="36"/>
      <w:szCs w:val="36"/>
      <w:lang w:eastAsia="hr-HR"/>
    </w:rPr>
  </w:style>
  <w:style w:type="paragraph" w:customStyle="1" w:styleId="Lijevo">
    <w:name w:val="Lijevo"/>
    <w:basedOn w:val="Normal"/>
    <w:rsid w:val="0098351F"/>
    <w:pPr>
      <w:tabs>
        <w:tab w:val="right" w:pos="1588"/>
        <w:tab w:val="left" w:pos="1814"/>
      </w:tabs>
      <w:spacing w:after="240"/>
    </w:pPr>
    <w:rPr>
      <w:rFonts w:ascii="CachetBook" w:eastAsia="Times New Roman" w:hAnsi="CachetBook" w:cs="Times New Roman"/>
      <w:sz w:val="16"/>
      <w:szCs w:val="24"/>
      <w:lang w:eastAsia="hr-HR"/>
    </w:rPr>
  </w:style>
  <w:style w:type="paragraph" w:styleId="Tijeloteksta">
    <w:name w:val="Body Text"/>
    <w:basedOn w:val="Normal"/>
    <w:link w:val="TijelotekstaChar"/>
    <w:rsid w:val="0098351F"/>
    <w:pPr>
      <w:jc w:val="both"/>
    </w:pPr>
    <w:rPr>
      <w:rFonts w:ascii="Arial" w:eastAsia="Times New Roman" w:hAnsi="Arial" w:cs="Arial"/>
      <w:sz w:val="20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98351F"/>
    <w:rPr>
      <w:rFonts w:ascii="Arial" w:eastAsia="Times New Roman" w:hAnsi="Arial" w:cs="Arial"/>
      <w:sz w:val="20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D704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7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9CD2EF-C044-4832-A9A3-7D519B1B5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1078</Words>
  <Characters>6148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Nacionalna i sveučilišna knjižnica u Zagrebu</Company>
  <LinksUpToDate>false</LinksUpToDate>
  <CharactersWithSpaces>7212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Goran Hasanec</dc:creator>
  <cp:lastModifiedBy>Tatjana Marincel Borković</cp:lastModifiedBy>
  <cp:revision>10</cp:revision>
  <cp:lastPrinted>2020-12-11T11:25:00Z</cp:lastPrinted>
  <dcterms:created xsi:type="dcterms:W3CDTF">2023-12-12T15:17:00Z</dcterms:created>
  <dcterms:modified xsi:type="dcterms:W3CDTF">2023-12-13T07:09:00Z</dcterms:modified>
</cp:coreProperties>
</file>